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C6" w:rsidRPr="00CB396C" w:rsidRDefault="006E47C6" w:rsidP="00DD6309">
      <w:pPr>
        <w:pStyle w:val="TOC1"/>
      </w:pPr>
    </w:p>
    <w:p w:rsidR="00CB4B50" w:rsidRPr="00CB396C" w:rsidRDefault="00CB4B50" w:rsidP="00CB4B50"/>
    <w:p w:rsidR="00C8194D" w:rsidRPr="00DD6309" w:rsidRDefault="00C8194D" w:rsidP="00DD6309">
      <w:pPr>
        <w:pStyle w:val="TOC1"/>
        <w:jc w:val="center"/>
        <w:rPr>
          <w:sz w:val="24"/>
          <w:szCs w:val="24"/>
        </w:rPr>
      </w:pPr>
      <w:r w:rsidRPr="00DD6309">
        <w:rPr>
          <w:sz w:val="24"/>
          <w:szCs w:val="24"/>
        </w:rPr>
        <w:t>ԲՈՎԱՆԴԱԿՈՒԹՅՈՒՆ</w:t>
      </w:r>
    </w:p>
    <w:p w:rsidR="003728C6" w:rsidRDefault="003728C6" w:rsidP="003728C6">
      <w:pPr>
        <w:tabs>
          <w:tab w:val="left" w:pos="0"/>
        </w:tabs>
        <w:rPr>
          <w:rFonts w:ascii="GHEA Grapalat" w:hAnsi="GHEA Grapalat"/>
          <w:b/>
          <w:sz w:val="22"/>
          <w:szCs w:val="22"/>
        </w:rPr>
      </w:pPr>
      <w:bookmarkStart w:id="0" w:name="_Toc71283303"/>
      <w:bookmarkStart w:id="1" w:name="_Toc71283304"/>
    </w:p>
    <w:p w:rsidR="00614029" w:rsidRPr="00CB396C" w:rsidRDefault="00614029" w:rsidP="003728C6">
      <w:pPr>
        <w:tabs>
          <w:tab w:val="left" w:pos="0"/>
        </w:tabs>
        <w:rPr>
          <w:rFonts w:ascii="GHEA Grapalat" w:hAnsi="GHEA Grapalat"/>
          <w:b/>
          <w:sz w:val="22"/>
          <w:szCs w:val="22"/>
        </w:rPr>
      </w:pPr>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sz w:val="24"/>
          <w:szCs w:val="24"/>
          <w:u w:val="none"/>
          <w:lang w:val="en-US"/>
        </w:rPr>
      </w:sdtEndPr>
      <w:sdtContent>
        <w:p w:rsidR="00B84E08" w:rsidRDefault="00E37514">
          <w:pPr>
            <w:pStyle w:val="TOC1"/>
            <w:rPr>
              <w:rFonts w:asciiTheme="minorHAnsi" w:eastAsiaTheme="minorEastAsia" w:hAnsiTheme="minorHAnsi" w:cstheme="minorBidi"/>
              <w:b w:val="0"/>
              <w:bCs w:val="0"/>
              <w:caps w:val="0"/>
              <w:color w:val="auto"/>
              <w:sz w:val="22"/>
              <w:szCs w:val="22"/>
            </w:rPr>
          </w:pPr>
          <w:r w:rsidRPr="00DD6309">
            <w:fldChar w:fldCharType="begin"/>
          </w:r>
          <w:r w:rsidRPr="00DD6309">
            <w:instrText xml:space="preserve"> TOC \o "1-3" \h \z \u </w:instrText>
          </w:r>
          <w:r w:rsidRPr="00DD6309">
            <w:fldChar w:fldCharType="separate"/>
          </w:r>
          <w:hyperlink w:anchor="_Toc165293051" w:history="1">
            <w:r w:rsidR="00B84E08" w:rsidRPr="000209EA">
              <w:rPr>
                <w:rStyle w:val="Hyperlink"/>
                <w:lang w:val="hy-AM"/>
              </w:rPr>
              <w:t>ՀԱՅԱՍՏԱՆԻ ՀԱՆՐԱՊԵՏՈՒԹՅԱՆ ՄԱԿՐՈՏՆՏԵՍԱԿԱՆ ԵՎ ՀԱՐԿԱԲՅՈՒՋԵՏԱՅԻՆ ԶԱՐԳԱՑՈՒՄՆԵՐԸ 2023 ԹՎԱԿԱՆԻ ԱՌԱՋԻՆ ԵՌԱՄՍՅԱԿՈՒՄ</w:t>
            </w:r>
            <w:r w:rsidR="00B84E08">
              <w:rPr>
                <w:webHidden/>
              </w:rPr>
              <w:tab/>
            </w:r>
            <w:r w:rsidR="00B84E08">
              <w:rPr>
                <w:webHidden/>
              </w:rPr>
              <w:fldChar w:fldCharType="begin"/>
            </w:r>
            <w:r w:rsidR="00B84E08">
              <w:rPr>
                <w:webHidden/>
              </w:rPr>
              <w:instrText xml:space="preserve"> PAGEREF _Toc165293051 \h </w:instrText>
            </w:r>
            <w:r w:rsidR="00B84E08">
              <w:rPr>
                <w:webHidden/>
              </w:rPr>
            </w:r>
            <w:r w:rsidR="00B84E08">
              <w:rPr>
                <w:webHidden/>
              </w:rPr>
              <w:fldChar w:fldCharType="separate"/>
            </w:r>
            <w:r w:rsidR="00B84E08">
              <w:rPr>
                <w:webHidden/>
              </w:rPr>
              <w:t>3</w:t>
            </w:r>
            <w:r w:rsidR="00B84E08">
              <w:rPr>
                <w:webHidden/>
              </w:rPr>
              <w:fldChar w:fldCharType="end"/>
            </w:r>
          </w:hyperlink>
        </w:p>
        <w:p w:rsidR="00B84E08" w:rsidRDefault="00B84E08">
          <w:pPr>
            <w:pStyle w:val="TOC2"/>
            <w:rPr>
              <w:rFonts w:asciiTheme="minorHAnsi" w:eastAsiaTheme="minorEastAsia" w:hAnsiTheme="minorHAnsi" w:cstheme="minorBidi"/>
              <w:bCs w:val="0"/>
              <w:sz w:val="22"/>
              <w:szCs w:val="22"/>
              <w:lang w:val="en-US"/>
            </w:rPr>
          </w:pPr>
          <w:hyperlink w:anchor="_Toc165293052" w:history="1">
            <w:r w:rsidRPr="000209EA">
              <w:rPr>
                <w:rStyle w:val="Hyperlink"/>
                <w:lang w:val="de-AT"/>
              </w:rPr>
              <w:t>ՄԱԿՐՈՏՆՏԵՍԱԿԱՆ ԵՎ ՀԱՐԿԱԲՅՈՒՋԵՏԱՅԻՆ ԱՄՓՈՓԱԳԻՐ</w:t>
            </w:r>
            <w:r>
              <w:rPr>
                <w:webHidden/>
              </w:rPr>
              <w:tab/>
            </w:r>
            <w:r>
              <w:rPr>
                <w:webHidden/>
              </w:rPr>
              <w:fldChar w:fldCharType="begin"/>
            </w:r>
            <w:r>
              <w:rPr>
                <w:webHidden/>
              </w:rPr>
              <w:instrText xml:space="preserve"> PAGEREF _Toc165293052 \h </w:instrText>
            </w:r>
            <w:r>
              <w:rPr>
                <w:webHidden/>
              </w:rPr>
            </w:r>
            <w:r>
              <w:rPr>
                <w:webHidden/>
              </w:rPr>
              <w:fldChar w:fldCharType="separate"/>
            </w:r>
            <w:r>
              <w:rPr>
                <w:webHidden/>
              </w:rPr>
              <w:t>3</w:t>
            </w:r>
            <w:r>
              <w:rPr>
                <w:webHidden/>
              </w:rPr>
              <w:fldChar w:fldCharType="end"/>
            </w:r>
          </w:hyperlink>
        </w:p>
        <w:p w:rsidR="00B84E08" w:rsidRDefault="00B84E08">
          <w:pPr>
            <w:pStyle w:val="TOC2"/>
            <w:rPr>
              <w:rFonts w:asciiTheme="minorHAnsi" w:eastAsiaTheme="minorEastAsia" w:hAnsiTheme="minorHAnsi" w:cstheme="minorBidi"/>
              <w:bCs w:val="0"/>
              <w:sz w:val="22"/>
              <w:szCs w:val="22"/>
              <w:lang w:val="en-US"/>
            </w:rPr>
          </w:pPr>
          <w:hyperlink w:anchor="_Toc165293053" w:history="1">
            <w:r w:rsidRPr="000209EA">
              <w:rPr>
                <w:rStyle w:val="Hyperlink"/>
                <w:lang w:val="de-AT"/>
              </w:rPr>
              <w:t>ՄԱԿՐՈՏՆՏԵՍԱԿԱՆ ԶԱՐԳԱՑՈՒՄՆԵՐ</w:t>
            </w:r>
            <w:r>
              <w:rPr>
                <w:webHidden/>
              </w:rPr>
              <w:tab/>
            </w:r>
            <w:r>
              <w:rPr>
                <w:webHidden/>
              </w:rPr>
              <w:fldChar w:fldCharType="begin"/>
            </w:r>
            <w:r>
              <w:rPr>
                <w:webHidden/>
              </w:rPr>
              <w:instrText xml:space="preserve"> PAGEREF _Toc165293053 \h </w:instrText>
            </w:r>
            <w:r>
              <w:rPr>
                <w:webHidden/>
              </w:rPr>
            </w:r>
            <w:r>
              <w:rPr>
                <w:webHidden/>
              </w:rPr>
              <w:fldChar w:fldCharType="separate"/>
            </w:r>
            <w:r>
              <w:rPr>
                <w:webHidden/>
              </w:rPr>
              <w:t>5</w:t>
            </w:r>
            <w:r>
              <w:rPr>
                <w:webHidden/>
              </w:rPr>
              <w:fldChar w:fldCharType="end"/>
            </w:r>
          </w:hyperlink>
        </w:p>
        <w:p w:rsidR="00B84E08" w:rsidRDefault="00B84E08">
          <w:pPr>
            <w:pStyle w:val="TOC2"/>
            <w:rPr>
              <w:rFonts w:asciiTheme="minorHAnsi" w:eastAsiaTheme="minorEastAsia" w:hAnsiTheme="minorHAnsi" w:cstheme="minorBidi"/>
              <w:bCs w:val="0"/>
              <w:sz w:val="22"/>
              <w:szCs w:val="22"/>
              <w:lang w:val="en-US"/>
            </w:rPr>
          </w:pPr>
          <w:hyperlink w:anchor="_Toc165293054" w:history="1">
            <w:r w:rsidRPr="000209EA">
              <w:rPr>
                <w:rStyle w:val="Hyperlink"/>
                <w:lang w:val="de-AT"/>
              </w:rPr>
              <w:t>Արտաքին միջավայրի զարգացումներ</w:t>
            </w:r>
            <w:r>
              <w:rPr>
                <w:webHidden/>
              </w:rPr>
              <w:tab/>
            </w:r>
            <w:r>
              <w:rPr>
                <w:webHidden/>
              </w:rPr>
              <w:fldChar w:fldCharType="begin"/>
            </w:r>
            <w:r>
              <w:rPr>
                <w:webHidden/>
              </w:rPr>
              <w:instrText xml:space="preserve"> PAGEREF _Toc165293054 \h </w:instrText>
            </w:r>
            <w:r>
              <w:rPr>
                <w:webHidden/>
              </w:rPr>
            </w:r>
            <w:r>
              <w:rPr>
                <w:webHidden/>
              </w:rPr>
              <w:fldChar w:fldCharType="separate"/>
            </w:r>
            <w:r>
              <w:rPr>
                <w:webHidden/>
              </w:rPr>
              <w:t>5</w:t>
            </w:r>
            <w:r>
              <w:rPr>
                <w:webHidden/>
              </w:rPr>
              <w:fldChar w:fldCharType="end"/>
            </w:r>
          </w:hyperlink>
        </w:p>
        <w:p w:rsidR="00B84E08" w:rsidRDefault="00B84E08">
          <w:pPr>
            <w:pStyle w:val="TOC2"/>
            <w:rPr>
              <w:rFonts w:asciiTheme="minorHAnsi" w:eastAsiaTheme="minorEastAsia" w:hAnsiTheme="minorHAnsi" w:cstheme="minorBidi"/>
              <w:bCs w:val="0"/>
              <w:sz w:val="22"/>
              <w:szCs w:val="22"/>
              <w:lang w:val="en-US"/>
            </w:rPr>
          </w:pPr>
          <w:hyperlink w:anchor="_Toc165293055" w:history="1">
            <w:r w:rsidRPr="000209EA">
              <w:rPr>
                <w:rStyle w:val="Hyperlink"/>
                <w:lang w:val="de-AT"/>
              </w:rPr>
              <w:t>ՀՀ մակրոտնտեսական զարգացումներ</w:t>
            </w:r>
            <w:r>
              <w:rPr>
                <w:webHidden/>
              </w:rPr>
              <w:tab/>
            </w:r>
            <w:r>
              <w:rPr>
                <w:webHidden/>
              </w:rPr>
              <w:fldChar w:fldCharType="begin"/>
            </w:r>
            <w:r>
              <w:rPr>
                <w:webHidden/>
              </w:rPr>
              <w:instrText xml:space="preserve"> PAGEREF _Toc165293055 \h </w:instrText>
            </w:r>
            <w:r>
              <w:rPr>
                <w:webHidden/>
              </w:rPr>
            </w:r>
            <w:r>
              <w:rPr>
                <w:webHidden/>
              </w:rPr>
              <w:fldChar w:fldCharType="separate"/>
            </w:r>
            <w:r>
              <w:rPr>
                <w:webHidden/>
              </w:rPr>
              <w:t>8</w:t>
            </w:r>
            <w:r>
              <w:rPr>
                <w:webHidden/>
              </w:rPr>
              <w:fldChar w:fldCharType="end"/>
            </w:r>
          </w:hyperlink>
        </w:p>
        <w:p w:rsidR="00B84E08" w:rsidRDefault="00B84E08">
          <w:pPr>
            <w:pStyle w:val="TOC2"/>
            <w:rPr>
              <w:rFonts w:asciiTheme="minorHAnsi" w:eastAsiaTheme="minorEastAsia" w:hAnsiTheme="minorHAnsi" w:cstheme="minorBidi"/>
              <w:bCs w:val="0"/>
              <w:sz w:val="22"/>
              <w:szCs w:val="22"/>
              <w:lang w:val="en-US"/>
            </w:rPr>
          </w:pPr>
          <w:hyperlink w:anchor="_Toc165293056" w:history="1">
            <w:r w:rsidRPr="000209EA">
              <w:rPr>
                <w:rStyle w:val="Hyperlink"/>
                <w:lang w:val="de-AT"/>
              </w:rPr>
              <w:t>ՀԱՐԿԱԲՅՈՒՋԵՏԱՅԻՆ ՔԱՂԱՔԱԿԱՆՈՒԹՅԱՆ ՀԻՄՆԱԿԱՆ ԶԱՐԳԱՑՈՒՄՆԵՐԸ</w:t>
            </w:r>
            <w:r>
              <w:rPr>
                <w:webHidden/>
              </w:rPr>
              <w:tab/>
            </w:r>
            <w:r>
              <w:rPr>
                <w:webHidden/>
              </w:rPr>
              <w:fldChar w:fldCharType="begin"/>
            </w:r>
            <w:r>
              <w:rPr>
                <w:webHidden/>
              </w:rPr>
              <w:instrText xml:space="preserve"> PAGEREF _Toc165293056 \h </w:instrText>
            </w:r>
            <w:r>
              <w:rPr>
                <w:webHidden/>
              </w:rPr>
            </w:r>
            <w:r>
              <w:rPr>
                <w:webHidden/>
              </w:rPr>
              <w:fldChar w:fldCharType="separate"/>
            </w:r>
            <w:r>
              <w:rPr>
                <w:webHidden/>
              </w:rPr>
              <w:t>27</w:t>
            </w:r>
            <w:r>
              <w:rPr>
                <w:webHidden/>
              </w:rPr>
              <w:fldChar w:fldCharType="end"/>
            </w:r>
          </w:hyperlink>
        </w:p>
        <w:p w:rsidR="00B84E08" w:rsidRDefault="00B84E08">
          <w:pPr>
            <w:pStyle w:val="TOC2"/>
            <w:rPr>
              <w:rFonts w:asciiTheme="minorHAnsi" w:eastAsiaTheme="minorEastAsia" w:hAnsiTheme="minorHAnsi" w:cstheme="minorBidi"/>
              <w:bCs w:val="0"/>
              <w:sz w:val="22"/>
              <w:szCs w:val="22"/>
              <w:lang w:val="en-US"/>
            </w:rPr>
          </w:pPr>
          <w:hyperlink w:anchor="_Toc165293057" w:history="1">
            <w:r w:rsidRPr="000209EA">
              <w:rPr>
                <w:rStyle w:val="Hyperlink"/>
                <w:lang w:val="de-AT"/>
              </w:rPr>
              <w:t>Աղյուսակ 1: Տնտեսության ճյուղերի և ենթաճյուղերի, արտահանման և ներմուծման ապրանքախմբերի հիմնական ցուցանիշները</w:t>
            </w:r>
            <w:r>
              <w:rPr>
                <w:webHidden/>
              </w:rPr>
              <w:tab/>
            </w:r>
            <w:r>
              <w:rPr>
                <w:webHidden/>
              </w:rPr>
              <w:fldChar w:fldCharType="begin"/>
            </w:r>
            <w:r>
              <w:rPr>
                <w:webHidden/>
              </w:rPr>
              <w:instrText xml:space="preserve"> PAGEREF _Toc165293057 \h </w:instrText>
            </w:r>
            <w:r>
              <w:rPr>
                <w:webHidden/>
              </w:rPr>
            </w:r>
            <w:r>
              <w:rPr>
                <w:webHidden/>
              </w:rPr>
              <w:fldChar w:fldCharType="separate"/>
            </w:r>
            <w:r>
              <w:rPr>
                <w:webHidden/>
              </w:rPr>
              <w:t>32</w:t>
            </w:r>
            <w:r>
              <w:rPr>
                <w:webHidden/>
              </w:rPr>
              <w:fldChar w:fldCharType="end"/>
            </w:r>
          </w:hyperlink>
        </w:p>
        <w:p w:rsidR="00647147" w:rsidRPr="00DD6309" w:rsidRDefault="00E37514" w:rsidP="00E37514">
          <w:pPr>
            <w:sectPr w:rsidR="00647147" w:rsidRPr="00DD6309" w:rsidSect="00E37514">
              <w:footerReference w:type="default" r:id="rId8"/>
              <w:pgSz w:w="11907" w:h="16840" w:code="9"/>
              <w:pgMar w:top="1134" w:right="567" w:bottom="567" w:left="1134" w:header="567" w:footer="340" w:gutter="0"/>
              <w:pgNumType w:start="2"/>
              <w:cols w:space="720"/>
            </w:sectPr>
          </w:pPr>
          <w:r w:rsidRPr="00DD6309">
            <w:rPr>
              <w:rFonts w:ascii="GHEA Grapalat" w:hAnsi="GHEA Grapalat"/>
              <w:b/>
              <w:bCs/>
              <w:noProof/>
            </w:rPr>
            <w:fldChar w:fldCharType="end"/>
          </w:r>
        </w:p>
        <w:bookmarkStart w:id="2" w:name="_GoBack" w:displacedByCustomXml="next"/>
        <w:bookmarkEnd w:id="2" w:displacedByCustomXml="next"/>
      </w:sdtContent>
    </w:sdt>
    <w:p w:rsidR="00B84E08" w:rsidRPr="00CB396C" w:rsidRDefault="00B84E08" w:rsidP="00B84E08">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3" w:name="_Toc100247626"/>
      <w:bookmarkStart w:id="4" w:name="_Toc87365141"/>
      <w:bookmarkStart w:id="5" w:name="_Toc8210486"/>
      <w:bookmarkStart w:id="6" w:name="_Toc71311890"/>
      <w:bookmarkStart w:id="7" w:name="_Toc165293051"/>
      <w:bookmarkEnd w:id="0"/>
      <w:bookmarkEnd w:id="1"/>
      <w:r w:rsidRPr="00CB396C">
        <w:rPr>
          <w:rFonts w:ascii="GHEA Grapalat" w:hAnsi="GHEA Grapalat" w:cs="Sylfaen"/>
          <w:noProof/>
          <w:sz w:val="22"/>
          <w:szCs w:val="22"/>
          <w:lang w:val="hy-AM"/>
        </w:rPr>
        <w:lastRenderedPageBreak/>
        <w:t>ՀԱՅԱՍՏԱՆԻ ՀԱՆՐԱՊԵՏՈՒԹՅԱՆ ՄԱԿՐՈՏՆՏԵՍԱԿԱՆ ԵՎ ՀԱՐԿԱԲՅՈՒՋԵՏԱՅԻՆ ԶԱՐԳԱՑՈՒՄՆԵՐԸ 2023 ԹՎԱԿԱՆԻ ԱՌԱՋԻՆ ԵՌԱՄՍՅԱԿՈՒՄ</w:t>
      </w:r>
      <w:bookmarkEnd w:id="7"/>
    </w:p>
    <w:p w:rsidR="00756F85" w:rsidRPr="00B84E08" w:rsidRDefault="00756F85" w:rsidP="00B84E08">
      <w:pPr>
        <w:pStyle w:val="Heading2"/>
        <w:overflowPunct/>
        <w:autoSpaceDE/>
        <w:autoSpaceDN/>
        <w:adjustRightInd/>
        <w:spacing w:before="0" w:after="240"/>
        <w:jc w:val="both"/>
        <w:textAlignment w:val="auto"/>
        <w:rPr>
          <w:rFonts w:ascii="GHEA Grapalat" w:hAnsi="GHEA Grapalat"/>
          <w:i w:val="0"/>
          <w:noProof/>
          <w:sz w:val="22"/>
          <w:szCs w:val="22"/>
          <w:lang w:val="de-AT"/>
        </w:rPr>
      </w:pPr>
    </w:p>
    <w:p w:rsidR="00756F85" w:rsidRPr="00B84E08" w:rsidRDefault="00756F85" w:rsidP="00B84E08">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8" w:name="_Toc165293052"/>
      <w:r w:rsidRPr="00B84E08">
        <w:rPr>
          <w:rFonts w:ascii="GHEA Grapalat" w:hAnsi="GHEA Grapalat"/>
          <w:i w:val="0"/>
          <w:noProof/>
          <w:sz w:val="22"/>
          <w:szCs w:val="22"/>
          <w:lang w:val="de-AT"/>
        </w:rPr>
        <w:t>ՄԱԿՐՈՏՆՏԵՍԱԿԱՆ ԵՎ ՀԱՐԿԱԲՅՈՒՋԵՏԱՅԻՆ ԱՄՓՈՓԱԳԻՐ</w:t>
      </w:r>
      <w:bookmarkEnd w:id="3"/>
      <w:bookmarkEnd w:id="8"/>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եռամսյակում համաշխարհային մատակարարման շղթաների աստիճանական վերականգնման, Չինաստանի տնտեսության վերականգնման, ինչպես նաև կենտրոնական բանկերի կողմից կիրառվող զսպող դրամավարկային քաղաքականության արդյունքում ՀՀ հիմնական գործընկեր երկրներում գրանցվել են ներուժային աճերից ցածր տնտեսական աճեր, իսկ ՌԴ-ում</w:t>
      </w:r>
      <w:r w:rsidR="006E27DC" w:rsidRPr="00CB396C">
        <w:rPr>
          <w:rFonts w:ascii="GHEA Grapalat" w:hAnsi="GHEA Grapalat"/>
          <w:sz w:val="22"/>
          <w:szCs w:val="22"/>
          <w:lang w:val="hy-AM"/>
        </w:rPr>
        <w:t xml:space="preserve"> </w:t>
      </w:r>
      <w:r w:rsidRPr="00CB396C">
        <w:rPr>
          <w:rFonts w:ascii="GHEA Grapalat" w:hAnsi="GHEA Grapalat"/>
          <w:sz w:val="22"/>
          <w:szCs w:val="22"/>
          <w:lang w:val="hy-AM"/>
        </w:rPr>
        <w:t>գրանցվել է տնտեսական անկում: Գնաճային ճնշումները թուլացել են՝ պայմանավորված համաշխարհային մատակարարման շղթաների վերականգնմամբ, ինչպես նաև կենտրոնական բանկերի կողմից վարվող խստացող դրամավարկային քաղաքականությամբ:</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Դեպի Հայաստան մարդկանց ներհոսքով, զբոսաշրջության զգալի ավելացման, տեղեկատվական տեխնոլոգիաների ոլորտի ընկերությունների</w:t>
      </w:r>
      <w:r w:rsidR="00BD7E96" w:rsidRPr="00CB396C">
        <w:rPr>
          <w:rFonts w:ascii="GHEA Grapalat" w:hAnsi="GHEA Grapalat"/>
          <w:sz w:val="22"/>
          <w:szCs w:val="22"/>
          <w:lang w:val="hy-AM"/>
        </w:rPr>
        <w:t>՝</w:t>
      </w:r>
      <w:r w:rsidRPr="00CB396C">
        <w:rPr>
          <w:rFonts w:ascii="GHEA Grapalat" w:hAnsi="GHEA Grapalat"/>
          <w:sz w:val="22"/>
          <w:szCs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BD7E96" w:rsidRPr="00CB396C">
        <w:rPr>
          <w:rFonts w:ascii="GHEA Grapalat" w:hAnsi="GHEA Grapalat"/>
          <w:sz w:val="22"/>
          <w:szCs w:val="22"/>
          <w:lang w:val="hy-AM"/>
        </w:rPr>
        <w:t xml:space="preserve"> </w:t>
      </w:r>
      <w:r w:rsidRPr="00CB396C">
        <w:rPr>
          <w:rFonts w:ascii="GHEA Grapalat" w:hAnsi="GHEA Grapalat"/>
          <w:sz w:val="22"/>
          <w:szCs w:val="22"/>
          <w:lang w:val="hy-AM"/>
        </w:rPr>
        <w:t>թ</w:t>
      </w:r>
      <w:r w:rsidR="00BD7E96" w:rsidRPr="00CB396C">
        <w:rPr>
          <w:rFonts w:ascii="GHEA Grapalat" w:hAnsi="GHEA Grapalat"/>
          <w:sz w:val="22"/>
          <w:szCs w:val="22"/>
          <w:lang w:val="hy-AM"/>
        </w:rPr>
        <w:t>վականի</w:t>
      </w:r>
      <w:r w:rsidRPr="00CB396C">
        <w:rPr>
          <w:rFonts w:ascii="GHEA Grapalat" w:hAnsi="GHEA Grapalat"/>
          <w:sz w:val="22"/>
          <w:szCs w:val="22"/>
          <w:lang w:val="hy-AM"/>
        </w:rPr>
        <w:t xml:space="preserve"> առաջին եռամսյակում։ Արդյունքում հունվար-մարտին գրանցվել է 12.2% տնտեսական ակտիվության աճ` պայմանավորված հիմնականում ծառայությունների աճով: Տնտեսության մյուս ճյուղերում նույնպես գրանցվել է թողարկման ծավալների աճ: Տնտեսական ակտիվության աճն ուղեկցվել է ներքին և արտաքին պահանջարկի աճով:</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եռամսյակում ներքին բարձր պահանջարկի և արտաքին որոշ շուկաներում ՀՀ ապրանքների նկատմամբ պահանջարկի ավելացման պայմաններում արտաքին առևտուրը նշանակալի աճ է գրանցել. ապրանքների արտահանումն աճել է 2</w:t>
      </w:r>
      <w:r w:rsidRPr="00CB396C">
        <w:rPr>
          <w:rFonts w:ascii="Cambria Math" w:hAnsi="Cambria Math" w:cs="Cambria Math"/>
          <w:sz w:val="22"/>
          <w:szCs w:val="22"/>
          <w:lang w:val="hy-AM"/>
        </w:rPr>
        <w:t>․</w:t>
      </w:r>
      <w:r w:rsidRPr="00CB396C">
        <w:rPr>
          <w:rFonts w:ascii="GHEA Grapalat" w:hAnsi="GHEA Grapalat"/>
          <w:sz w:val="22"/>
          <w:szCs w:val="22"/>
          <w:lang w:val="hy-AM"/>
        </w:rPr>
        <w:t xml:space="preserve">3 </w:t>
      </w:r>
      <w:r w:rsidRPr="00CB396C">
        <w:rPr>
          <w:rFonts w:ascii="GHEA Grapalat" w:hAnsi="GHEA Grapalat" w:cs="GHEA Grapalat"/>
          <w:sz w:val="22"/>
          <w:szCs w:val="22"/>
          <w:lang w:val="hy-AM"/>
        </w:rPr>
        <w:t>անգամ</w:t>
      </w:r>
      <w:r w:rsidRPr="00CB396C">
        <w:rPr>
          <w:rFonts w:ascii="GHEA Grapalat" w:hAnsi="GHEA Grapalat"/>
          <w:sz w:val="22"/>
          <w:szCs w:val="22"/>
          <w:lang w:val="hy-AM"/>
        </w:rPr>
        <w:t xml:space="preserve">, իսկ ներմուծումը՝ 89.1%-ով։ </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w:t>
      </w:r>
      <w:r w:rsidR="00BD7E96" w:rsidRPr="00CB396C">
        <w:rPr>
          <w:rFonts w:ascii="GHEA Grapalat" w:hAnsi="GHEA Grapalat"/>
          <w:sz w:val="22"/>
          <w:szCs w:val="22"/>
          <w:lang w:val="hy-AM"/>
        </w:rPr>
        <w:t xml:space="preserve"> </w:t>
      </w:r>
      <w:r w:rsidRPr="00CB396C">
        <w:rPr>
          <w:rFonts w:ascii="GHEA Grapalat" w:hAnsi="GHEA Grapalat"/>
          <w:sz w:val="22"/>
          <w:szCs w:val="22"/>
          <w:lang w:val="hy-AM"/>
        </w:rPr>
        <w:t>թ</w:t>
      </w:r>
      <w:r w:rsidR="00BD7E96" w:rsidRPr="00CB396C">
        <w:rPr>
          <w:rFonts w:ascii="GHEA Grapalat" w:hAnsi="GHEA Grapalat"/>
          <w:sz w:val="22"/>
          <w:szCs w:val="22"/>
          <w:lang w:val="hy-AM"/>
        </w:rPr>
        <w:t>վականի առաջին եռամսյակում 12-</w:t>
      </w:r>
      <w:r w:rsidRPr="00CB396C">
        <w:rPr>
          <w:rFonts w:ascii="GHEA Grapalat" w:hAnsi="GHEA Grapalat"/>
          <w:sz w:val="22"/>
          <w:szCs w:val="22"/>
          <w:lang w:val="hy-AM"/>
        </w:rPr>
        <w:t>ամսյա գնաճը զգալիորեն դա</w:t>
      </w:r>
      <w:r w:rsidR="00BD7E96" w:rsidRPr="00CB396C">
        <w:rPr>
          <w:rFonts w:ascii="GHEA Grapalat" w:hAnsi="GHEA Grapalat"/>
          <w:sz w:val="22"/>
          <w:szCs w:val="22"/>
          <w:lang w:val="hy-AM"/>
        </w:rPr>
        <w:t>նդաղել է և կազմել 5.4%՝ գտնվելով</w:t>
      </w:r>
      <w:r w:rsidRPr="00CB396C">
        <w:rPr>
          <w:rFonts w:ascii="GHEA Grapalat" w:hAnsi="GHEA Grapalat"/>
          <w:sz w:val="22"/>
          <w:szCs w:val="22"/>
          <w:lang w:val="hy-AM"/>
        </w:rPr>
        <w:t xml:space="preserve"> ԿԲ թիրախային միջակայքի վերին հատվածում։ Արդյունքում ԿԲ-ն ձեռնպահ է մնացել քաղաքականության տոկոսադրույքի հետագա փոփոխություններից՝ համարելով, որ քաղաքականության դիրքը բավարար զսպող է կանխատեսվող ժամանակահատվածում դեպի թիրախը գնաճի հետագա նվազեցումն ապահովելու համար։</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 xml:space="preserve">2023 թվականի առաջին եռամսյակում բանկային համակարգի վարկերի և ավանդների ծավալների աճերը շարունակել են արագանալ։ Վարկերի աճը հիմնականում պայմանավորվել է </w:t>
      </w:r>
      <w:r w:rsidR="00793C13" w:rsidRPr="00CB396C">
        <w:rPr>
          <w:rFonts w:ascii="GHEA Grapalat" w:hAnsi="GHEA Grapalat"/>
          <w:sz w:val="22"/>
          <w:szCs w:val="22"/>
          <w:lang w:val="hy-AM"/>
        </w:rPr>
        <w:t>հիպոտեկ</w:t>
      </w:r>
      <w:r w:rsidRPr="00CB396C">
        <w:rPr>
          <w:rFonts w:ascii="GHEA Grapalat" w:hAnsi="GHEA Grapalat"/>
          <w:sz w:val="22"/>
          <w:szCs w:val="22"/>
          <w:lang w:val="hy-AM"/>
        </w:rPr>
        <w:t xml:space="preserve">ային վարկերի աճով, որի վրա շարունակում է իր դրական ազդեցությունն ունենալ եկամտային հարկի վերադարձի քաղաքականությունը։ Ավանդները բարձր աճի տեմպեր են </w:t>
      </w:r>
      <w:r w:rsidRPr="00CB396C">
        <w:rPr>
          <w:rFonts w:ascii="GHEA Grapalat" w:hAnsi="GHEA Grapalat"/>
          <w:sz w:val="22"/>
          <w:szCs w:val="22"/>
          <w:lang w:val="hy-AM"/>
        </w:rPr>
        <w:lastRenderedPageBreak/>
        <w:t xml:space="preserve">գրանցել՝ արտացոլելով ինչպես ոչ ռեզիդենտների ավանդների ներհոսքի կտրուկ արագացումը, </w:t>
      </w:r>
      <w:r w:rsidR="0009773B" w:rsidRPr="00CB396C">
        <w:rPr>
          <w:rFonts w:ascii="GHEA Grapalat" w:hAnsi="GHEA Grapalat"/>
          <w:sz w:val="22"/>
          <w:szCs w:val="22"/>
          <w:lang w:val="hy-AM"/>
        </w:rPr>
        <w:t>այնպես էլ</w:t>
      </w:r>
      <w:r w:rsidRPr="00CB396C">
        <w:rPr>
          <w:rFonts w:ascii="GHEA Grapalat" w:hAnsi="GHEA Grapalat"/>
          <w:sz w:val="22"/>
          <w:szCs w:val="22"/>
          <w:lang w:val="hy-AM"/>
        </w:rPr>
        <w:t xml:space="preserve"> ռեզիդենտ ձեռնարկությունների և ֆիզիկական անձանց ցպահանջ ավանդների աճը։</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եռամսյակի բարձր տնտեսական աճի պայմաններում, եկամուտների գերակատարման և ծախսերի թերակատարման արդյունքում ձևավորվել է բյուջեի հավելուրդ։</w:t>
      </w:r>
      <w:r w:rsidR="006E27DC" w:rsidRPr="00CB396C">
        <w:rPr>
          <w:rFonts w:ascii="GHEA Grapalat" w:hAnsi="GHEA Grapalat"/>
          <w:sz w:val="22"/>
          <w:szCs w:val="22"/>
          <w:lang w:val="hy-AM"/>
        </w:rPr>
        <w:t xml:space="preserve"> Հարկաբյուջետային քաղականության</w:t>
      </w:r>
      <w:r w:rsidRPr="00CB396C">
        <w:rPr>
          <w:rFonts w:ascii="GHEA Grapalat" w:hAnsi="GHEA Grapalat"/>
          <w:sz w:val="22"/>
          <w:szCs w:val="22"/>
          <w:lang w:val="hy-AM"/>
        </w:rPr>
        <w:t xml:space="preserve"> ազդեցությունն ամբողջական պահանջարկի վրա եղել է զսպող՝ պայմանավորված ծախսերի զսպող ազդեցությամբ։ </w:t>
      </w:r>
    </w:p>
    <w:p w:rsidR="0083002C" w:rsidRPr="00CB396C" w:rsidRDefault="0083002C"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B396C">
        <w:rPr>
          <w:rFonts w:ascii="GHEA Grapalat" w:hAnsi="GHEA Grapalat"/>
          <w:sz w:val="22"/>
          <w:szCs w:val="22"/>
          <w:lang w:val="hy-AM"/>
        </w:rPr>
        <w:t>2023 թվականի առաջին եռամսյակում հարկման բազաների աճի պայմաններում ՀՀ պետական բյուջեի հարկային եկամուտներն աճել են բարձր տեմպերով՝ կազմելով 461.4 մլրդ դրամ և նախորդ տարվա նույն ժամանակահատվածի համեմատ աճել</w:t>
      </w:r>
      <w:r w:rsidR="006E27DC" w:rsidRPr="00CB396C">
        <w:rPr>
          <w:rFonts w:ascii="GHEA Grapalat" w:hAnsi="GHEA Grapalat"/>
          <w:sz w:val="22"/>
          <w:szCs w:val="22"/>
          <w:lang w:val="hy-AM"/>
        </w:rPr>
        <w:t>ով</w:t>
      </w:r>
      <w:r w:rsidRPr="00CB396C">
        <w:rPr>
          <w:rFonts w:ascii="GHEA Grapalat" w:hAnsi="GHEA Grapalat"/>
          <w:sz w:val="22"/>
          <w:szCs w:val="22"/>
          <w:lang w:val="hy-AM"/>
        </w:rPr>
        <w:t xml:space="preserve"> 15.2%-ով: Ընդ որում, հարկերի հավաքագրման աճի տեմպերը փ</w:t>
      </w:r>
      <w:r w:rsidR="006E27DC" w:rsidRPr="00CB396C">
        <w:rPr>
          <w:rFonts w:ascii="GHEA Grapalat" w:hAnsi="GHEA Grapalat"/>
          <w:sz w:val="22"/>
          <w:szCs w:val="22"/>
          <w:lang w:val="hy-AM"/>
        </w:rPr>
        <w:t>ոքր-</w:t>
      </w:r>
      <w:r w:rsidRPr="00CB396C">
        <w:rPr>
          <w:rFonts w:ascii="GHEA Grapalat" w:hAnsi="GHEA Grapalat"/>
          <w:sz w:val="22"/>
          <w:szCs w:val="22"/>
          <w:lang w:val="hy-AM"/>
        </w:rPr>
        <w:t xml:space="preserve">ինչ դանդաղել են՝ պայմանավորված եկամտային հարկի դրույքաչափի նվազմամբ և վերադարձի ծավալների աճով, ինչպես նաև մետաղական հանքանյութերի նկատմամբ արտահանման տուրքի չեղարկմամբ: </w:t>
      </w:r>
    </w:p>
    <w:p w:rsidR="00D46EE2" w:rsidRPr="00CB396C" w:rsidRDefault="00D46EE2" w:rsidP="00D46EE2">
      <w:pPr>
        <w:spacing w:line="360" w:lineRule="auto"/>
        <w:rPr>
          <w:rFonts w:ascii="GHEA Grapalat" w:eastAsia="GHEA Grapalat" w:hAnsi="GHEA Grapalat"/>
          <w:b/>
          <w:sz w:val="22"/>
          <w:szCs w:val="22"/>
          <w:lang w:val="hy-AM"/>
        </w:rPr>
      </w:pPr>
    </w:p>
    <w:p w:rsidR="00146D21" w:rsidRDefault="00146D21">
      <w:pPr>
        <w:rPr>
          <w:rFonts w:ascii="GHEA Grapalat" w:hAnsi="GHEA Grapalat" w:cs="Sylfaen"/>
          <w:b/>
          <w:i/>
          <w:noProof/>
          <w:sz w:val="22"/>
          <w:szCs w:val="22"/>
          <w:lang w:val="hy-AM"/>
        </w:rPr>
      </w:pPr>
      <w:bookmarkStart w:id="9" w:name="_Toc71311877"/>
      <w:r>
        <w:rPr>
          <w:rFonts w:ascii="GHEA Grapalat" w:hAnsi="GHEA Grapalat" w:cs="Sylfaen"/>
          <w:noProof/>
          <w:sz w:val="22"/>
          <w:szCs w:val="22"/>
          <w:lang w:val="hy-AM"/>
        </w:rPr>
        <w:br w:type="page"/>
      </w:r>
    </w:p>
    <w:p w:rsidR="00563135" w:rsidRPr="00CB396C"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0" w:name="_Toc71283305"/>
      <w:bookmarkStart w:id="11" w:name="_Toc71311879"/>
      <w:bookmarkStart w:id="12" w:name="_Toc165293053"/>
      <w:bookmarkEnd w:id="9"/>
      <w:r w:rsidRPr="00CB396C">
        <w:rPr>
          <w:rFonts w:ascii="GHEA Grapalat" w:hAnsi="GHEA Grapalat"/>
          <w:i w:val="0"/>
          <w:noProof/>
          <w:sz w:val="22"/>
          <w:szCs w:val="22"/>
          <w:lang w:val="de-AT"/>
        </w:rPr>
        <w:lastRenderedPageBreak/>
        <w:t>ՄԱԿՐՈՏՆՏԵՍԱԿԱՆ ԶԱՐԳԱՑՈՒՄՆԵՐ</w:t>
      </w:r>
      <w:bookmarkEnd w:id="10"/>
      <w:bookmarkEnd w:id="11"/>
      <w:bookmarkEnd w:id="12"/>
    </w:p>
    <w:p w:rsidR="00563135" w:rsidRPr="00CB396C"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65293054"/>
      <w:r w:rsidRPr="00CB396C">
        <w:rPr>
          <w:rFonts w:ascii="GHEA Grapalat" w:hAnsi="GHEA Grapalat"/>
          <w:bCs/>
          <w:i w:val="0"/>
          <w:noProof/>
          <w:sz w:val="22"/>
          <w:szCs w:val="22"/>
          <w:lang w:val="de-AT"/>
        </w:rPr>
        <w:t>Արտաքին միջավայրի զարգացումներ</w:t>
      </w:r>
      <w:bookmarkEnd w:id="13"/>
      <w:bookmarkEnd w:id="14"/>
      <w:bookmarkEnd w:id="15"/>
    </w:p>
    <w:p w:rsidR="00664493" w:rsidRPr="00CB396C" w:rsidRDefault="00664493" w:rsidP="00664493">
      <w:pPr>
        <w:spacing w:line="360" w:lineRule="auto"/>
        <w:ind w:firstLine="567"/>
        <w:jc w:val="both"/>
        <w:rPr>
          <w:rFonts w:ascii="GHEA Grapalat" w:hAnsi="GHEA Grapalat"/>
          <w:sz w:val="22"/>
          <w:szCs w:val="22"/>
          <w:lang w:val="hy-AM"/>
        </w:rPr>
      </w:pPr>
      <w:bookmarkStart w:id="16" w:name="_Toc71283307"/>
      <w:bookmarkStart w:id="17" w:name="_Toc71311881"/>
      <w:r w:rsidRPr="00CB396C">
        <w:rPr>
          <w:rFonts w:ascii="GHEA Grapalat" w:eastAsia="GHEA Grapalat" w:hAnsi="GHEA Grapalat" w:cs="GHEA Grapalat"/>
          <w:b/>
          <w:i/>
          <w:sz w:val="22"/>
          <w:szCs w:val="22"/>
          <w:lang w:val="hy-AM"/>
        </w:rPr>
        <w:t>Տնտեսական զարգացումներ</w:t>
      </w:r>
      <w:r w:rsidRPr="00CB396C">
        <w:rPr>
          <w:rFonts w:ascii="GHEA Grapalat" w:hAnsi="GHEA Grapalat"/>
          <w:b/>
          <w:i/>
          <w:sz w:val="22"/>
          <w:szCs w:val="22"/>
          <w:lang w:val="af-ZA"/>
        </w:rPr>
        <w:t>:</w:t>
      </w:r>
      <w:r w:rsidR="006E27DC" w:rsidRPr="00CB396C">
        <w:rPr>
          <w:rFonts w:ascii="GHEA Grapalat" w:hAnsi="GHEA Grapalat"/>
          <w:sz w:val="22"/>
          <w:szCs w:val="22"/>
          <w:lang w:val="af-ZA"/>
        </w:rPr>
        <w:t xml:space="preserve"> </w:t>
      </w:r>
      <w:r w:rsidRPr="00CB396C">
        <w:rPr>
          <w:rFonts w:ascii="GHEA Grapalat" w:hAnsi="GHEA Grapalat"/>
          <w:sz w:val="22"/>
          <w:szCs w:val="22"/>
          <w:lang w:val="hy-AM"/>
        </w:rPr>
        <w:t>2023 թվականի առաջին եռամսյակում հիմնական գործընկեր երկրնե</w:t>
      </w:r>
      <w:r w:rsidR="00774133" w:rsidRPr="00CB396C">
        <w:rPr>
          <w:rFonts w:ascii="GHEA Grapalat" w:hAnsi="GHEA Grapalat"/>
          <w:sz w:val="22"/>
          <w:szCs w:val="22"/>
          <w:lang w:val="hy-AM"/>
        </w:rPr>
        <w:t>րի տնտեսություններում շարունակվել են</w:t>
      </w:r>
      <w:r w:rsidRPr="00CB396C">
        <w:rPr>
          <w:rFonts w:ascii="GHEA Grapalat" w:hAnsi="GHEA Grapalat"/>
          <w:sz w:val="22"/>
          <w:szCs w:val="22"/>
          <w:lang w:val="hy-AM"/>
        </w:rPr>
        <w:t xml:space="preserve"> տնտեսական աճեր դիտվել, բացառությամբ Ռուսաստանի, որտեղ գրանցված անկման տեմպերը թուլանում են՝ ի համեմատ նախորդ եռամսյակների: Աճը զսպող գործոններ են շարունակում մնալ ռուս-ուկրաինական հակամարտության բացասական հետևանքներն ու կենտրոնական բանկերի կողմից կիրառվող դրամավարկային քաղաքականության խստացումները</w:t>
      </w:r>
      <w:r w:rsidRPr="00CB396C">
        <w:rPr>
          <w:rFonts w:ascii="GHEA Grapalat" w:hAnsi="GHEA Grapalat"/>
          <w:lang w:val="hy-AM"/>
        </w:rPr>
        <w:t>:</w:t>
      </w:r>
    </w:p>
    <w:p w:rsidR="00664493" w:rsidRPr="00CB396C" w:rsidRDefault="00664493" w:rsidP="00664493">
      <w:pPr>
        <w:spacing w:line="360" w:lineRule="auto"/>
        <w:ind w:firstLine="562"/>
        <w:contextualSpacing/>
        <w:jc w:val="both"/>
        <w:rPr>
          <w:rFonts w:ascii="GHEA Grapalat" w:eastAsia="GHEA Grapalat" w:hAnsi="GHEA Grapalat" w:cs="GHEA Grapalat"/>
          <w:sz w:val="22"/>
          <w:szCs w:val="22"/>
          <w:lang w:val="hy-AM"/>
        </w:rPr>
      </w:pPr>
      <w:r w:rsidRPr="00CB396C">
        <w:rPr>
          <w:rFonts w:ascii="GHEA Grapalat" w:hAnsi="GHEA Grapalat"/>
          <w:sz w:val="22"/>
          <w:szCs w:val="22"/>
          <w:lang w:val="hy-AM"/>
        </w:rPr>
        <w:t>2023 թվականի առաջին եռամսյակում նախորդ տարվա համապատասխան ժամանակահատվածի նկատմամբ ԱՄՆ տնտեսությունը գրանցել է 1.6</w:t>
      </w:r>
      <w:r w:rsidRPr="00CB396C">
        <w:rPr>
          <w:rFonts w:ascii="GHEA Grapalat" w:eastAsia="GHEA Grapalat" w:hAnsi="GHEA Grapalat" w:cs="GHEA Grapalat"/>
          <w:sz w:val="22"/>
          <w:szCs w:val="22"/>
          <w:lang w:val="hy-AM"/>
        </w:rPr>
        <w:t>% աճ</w:t>
      </w:r>
      <w:r w:rsidRPr="00CB396C">
        <w:rPr>
          <w:rFonts w:ascii="GHEA Grapalat" w:hAnsi="GHEA Grapalat"/>
          <w:sz w:val="22"/>
          <w:szCs w:val="22"/>
          <w:vertAlign w:val="superscript"/>
        </w:rPr>
        <w:footnoteReference w:id="1"/>
      </w:r>
      <w:r w:rsidRPr="00CB396C">
        <w:rPr>
          <w:rFonts w:ascii="GHEA Grapalat" w:eastAsia="GHEA Grapalat" w:hAnsi="GHEA Grapalat" w:cs="GHEA Grapalat"/>
          <w:sz w:val="22"/>
          <w:szCs w:val="22"/>
          <w:lang w:val="hy-AM"/>
        </w:rPr>
        <w:t>, Եվր</w:t>
      </w:r>
      <w:r w:rsidR="00774133" w:rsidRPr="00CB396C">
        <w:rPr>
          <w:rFonts w:ascii="GHEA Grapalat" w:eastAsia="GHEA Grapalat" w:hAnsi="GHEA Grapalat" w:cs="GHEA Grapalat"/>
          <w:sz w:val="22"/>
          <w:szCs w:val="22"/>
          <w:lang w:val="hy-AM"/>
        </w:rPr>
        <w:t>ա</w:t>
      </w:r>
      <w:r w:rsidRPr="00CB396C">
        <w:rPr>
          <w:rFonts w:ascii="GHEA Grapalat" w:eastAsia="GHEA Grapalat" w:hAnsi="GHEA Grapalat" w:cs="GHEA Grapalat"/>
          <w:sz w:val="22"/>
          <w:szCs w:val="22"/>
          <w:lang w:val="hy-AM"/>
        </w:rPr>
        <w:t>գոտու տնտեսությունն աճել է ավելի դանդաղ տեմպերով՝ 1.3%-ով</w:t>
      </w:r>
      <w:r w:rsidRPr="00CB396C">
        <w:rPr>
          <w:rFonts w:ascii="GHEA Grapalat" w:hAnsi="GHEA Grapalat"/>
          <w:sz w:val="22"/>
          <w:szCs w:val="22"/>
          <w:vertAlign w:val="superscript"/>
        </w:rPr>
        <w:footnoteReference w:id="2"/>
      </w:r>
      <w:r w:rsidRPr="00CB396C">
        <w:rPr>
          <w:rFonts w:ascii="GHEA Grapalat" w:eastAsia="GHEA Grapalat" w:hAnsi="GHEA Grapalat" w:cs="GHEA Grapalat"/>
          <w:sz w:val="22"/>
          <w:szCs w:val="22"/>
          <w:lang w:val="hy-AM"/>
        </w:rPr>
        <w:t>, իսկ Չինաստանում գրանցվել է 4.5% տնտեսական աճ</w:t>
      </w:r>
      <w:r w:rsidRPr="00CB396C">
        <w:rPr>
          <w:rFonts w:ascii="GHEA Grapalat" w:hAnsi="GHEA Grapalat"/>
          <w:sz w:val="22"/>
          <w:szCs w:val="22"/>
          <w:vertAlign w:val="superscript"/>
        </w:rPr>
        <w:footnoteReference w:id="3"/>
      </w:r>
      <w:r w:rsidRPr="00CB396C">
        <w:rPr>
          <w:rFonts w:ascii="GHEA Grapalat" w:eastAsia="GHEA Grapalat" w:hAnsi="GHEA Grapalat" w:cs="GHEA Grapalat"/>
          <w:sz w:val="22"/>
          <w:szCs w:val="22"/>
          <w:lang w:val="de-AT"/>
        </w:rPr>
        <w:t>:</w:t>
      </w:r>
      <w:r w:rsidRPr="00CB396C">
        <w:rPr>
          <w:rFonts w:ascii="GHEA Grapalat" w:eastAsia="GHEA Grapalat" w:hAnsi="GHEA Grapalat" w:cs="GHEA Grapalat"/>
          <w:sz w:val="22"/>
          <w:szCs w:val="22"/>
          <w:lang w:val="hy-AM"/>
        </w:rPr>
        <w:t xml:space="preserve"> </w:t>
      </w:r>
    </w:p>
    <w:p w:rsidR="00664493" w:rsidRPr="00CB396C" w:rsidRDefault="00664493" w:rsidP="00664493">
      <w:pPr>
        <w:spacing w:line="360" w:lineRule="auto"/>
        <w:ind w:firstLine="562"/>
        <w:contextualSpacing/>
        <w:jc w:val="both"/>
        <w:rPr>
          <w:rFonts w:ascii="GHEA Grapalat" w:eastAsia="GHEA Grapalat" w:hAnsi="GHEA Grapalat" w:cs="GHEA Grapalat"/>
          <w:sz w:val="22"/>
          <w:szCs w:val="22"/>
          <w:lang w:val="hy-AM"/>
        </w:rPr>
      </w:pPr>
      <w:r w:rsidRPr="00CB396C">
        <w:rPr>
          <w:rFonts w:ascii="GHEA Grapalat" w:eastAsia="GHEA Grapalat" w:hAnsi="GHEA Grapalat" w:cs="GHEA Grapalat"/>
          <w:sz w:val="22"/>
          <w:szCs w:val="22"/>
          <w:lang w:val="hy-AM"/>
        </w:rPr>
        <w:t>Ռուսաստանի տնտեսությունը 2023 թվականի առաջին եռամսյակում նախորդ տարվա նույն ժամանակահատվածի նկատմամբ արձանագրել է 2.2% անկում</w:t>
      </w:r>
      <w:r w:rsidRPr="00CB396C">
        <w:rPr>
          <w:rFonts w:ascii="GHEA Grapalat" w:hAnsi="GHEA Grapalat"/>
          <w:sz w:val="22"/>
          <w:szCs w:val="22"/>
          <w:vertAlign w:val="superscript"/>
        </w:rPr>
        <w:footnoteReference w:id="4"/>
      </w:r>
      <w:r w:rsidRPr="00CB396C">
        <w:rPr>
          <w:rFonts w:ascii="GHEA Grapalat" w:eastAsia="GHEA Grapalat" w:hAnsi="GHEA Grapalat" w:cs="GHEA Grapalat"/>
          <w:sz w:val="22"/>
          <w:szCs w:val="22"/>
          <w:lang w:val="hy-AM"/>
        </w:rPr>
        <w:t>։ Ընդ որում, Ռուսաստանի տնտեսական անկման տեմպերը դանդաղել են. տնտեսական ակտիվությունը հունվարին նվազել է 3.2%-ով, փետրվարին՝ 2.9%</w:t>
      </w:r>
      <w:r w:rsidR="00774133" w:rsidRPr="00CB396C">
        <w:rPr>
          <w:rFonts w:ascii="GHEA Grapalat" w:eastAsia="GHEA Grapalat" w:hAnsi="GHEA Grapalat" w:cs="GHEA Grapalat"/>
          <w:sz w:val="22"/>
          <w:szCs w:val="22"/>
          <w:lang w:val="hy-AM"/>
        </w:rPr>
        <w:t>-ով</w:t>
      </w:r>
      <w:r w:rsidRPr="00CB396C">
        <w:rPr>
          <w:rFonts w:ascii="GHEA Grapalat" w:eastAsia="GHEA Grapalat" w:hAnsi="GHEA Grapalat" w:cs="GHEA Grapalat"/>
          <w:sz w:val="22"/>
          <w:szCs w:val="22"/>
          <w:lang w:val="hy-AM"/>
        </w:rPr>
        <w:t>, իսկ մարտին՝ 1.1%-ով: Անկման տեմպերի դանդաղումը պայմանավորված է մշակող արդյունաբերության աստիճանական վերականգնմամբ:</w:t>
      </w:r>
    </w:p>
    <w:p w:rsidR="00664493" w:rsidRPr="00CB396C" w:rsidRDefault="00664493" w:rsidP="00664493">
      <w:pPr>
        <w:spacing w:after="120" w:line="360" w:lineRule="auto"/>
        <w:ind w:firstLine="561"/>
        <w:contextualSpacing/>
        <w:jc w:val="both"/>
        <w:rPr>
          <w:rFonts w:ascii="GHEA Grapalat" w:eastAsia="GHEA Grapalat" w:hAnsi="GHEA Grapalat" w:cs="GHEA Grapalat"/>
          <w:sz w:val="22"/>
          <w:szCs w:val="22"/>
          <w:lang w:val="hy-AM"/>
        </w:rPr>
      </w:pPr>
    </w:p>
    <w:p w:rsidR="00664493" w:rsidRPr="00CB396C" w:rsidRDefault="00664493" w:rsidP="00BB6A15">
      <w:pPr>
        <w:pStyle w:val="a"/>
        <w:rPr>
          <w:lang w:val="de-AT"/>
        </w:rPr>
      </w:pPr>
      <w:r w:rsidRPr="00CB396C">
        <w:rPr>
          <w:lang w:val="hy-AM"/>
        </w:rPr>
        <w:lastRenderedPageBreak/>
        <w:t>Գործընկեր</w:t>
      </w:r>
      <w:r w:rsidRPr="00CB396C">
        <w:rPr>
          <w:lang w:val="de-AT"/>
        </w:rPr>
        <w:t xml:space="preserve"> </w:t>
      </w:r>
      <w:r w:rsidRPr="00CB396C">
        <w:rPr>
          <w:lang w:val="hy-AM"/>
        </w:rPr>
        <w:t>երկրների</w:t>
      </w:r>
      <w:r w:rsidRPr="00CB396C">
        <w:rPr>
          <w:lang w:val="de-AT"/>
        </w:rPr>
        <w:t xml:space="preserve"> </w:t>
      </w:r>
      <w:r w:rsidRPr="00CB396C">
        <w:rPr>
          <w:lang w:val="hy-AM"/>
        </w:rPr>
        <w:t>տնտեսական</w:t>
      </w:r>
      <w:r w:rsidRPr="00CB396C">
        <w:rPr>
          <w:lang w:val="de-AT"/>
        </w:rPr>
        <w:t xml:space="preserve"> </w:t>
      </w:r>
      <w:r w:rsidRPr="00CB396C">
        <w:rPr>
          <w:lang w:val="hy-AM"/>
        </w:rPr>
        <w:t>աճեր</w:t>
      </w:r>
      <w:r w:rsidRPr="00CB396C">
        <w:rPr>
          <w:lang w:val="de-AT"/>
        </w:rPr>
        <w:t>,</w:t>
      </w:r>
      <w:r w:rsidRPr="00CB396C">
        <w:rPr>
          <w:lang w:val="hy-AM"/>
        </w:rPr>
        <w:t xml:space="preserve"> եռամսյակային, տ/տ,</w:t>
      </w:r>
      <w:r w:rsidRPr="00CB396C">
        <w:rPr>
          <w:lang w:val="de-AT"/>
        </w:rPr>
        <w:t xml:space="preserve"> %</w:t>
      </w:r>
    </w:p>
    <w:p w:rsidR="00664493" w:rsidRPr="00CB396C" w:rsidRDefault="00664493" w:rsidP="00BB6A15">
      <w:pPr>
        <w:pStyle w:val="a"/>
        <w:numPr>
          <w:ilvl w:val="0"/>
          <w:numId w:val="0"/>
        </w:numPr>
      </w:pPr>
      <w:r w:rsidRPr="00CB396C">
        <w:drawing>
          <wp:inline distT="0" distB="0" distL="0" distR="0" wp14:anchorId="74B0958E" wp14:editId="35665FCC">
            <wp:extent cx="6469380" cy="2464904"/>
            <wp:effectExtent l="0" t="0" r="7620" b="12065"/>
            <wp:docPr id="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4133" w:rsidRPr="00CB396C" w:rsidRDefault="00774133" w:rsidP="00664493">
      <w:pPr>
        <w:spacing w:line="360" w:lineRule="auto"/>
        <w:ind w:firstLine="562"/>
        <w:contextualSpacing/>
        <w:jc w:val="both"/>
        <w:rPr>
          <w:rFonts w:ascii="GHEA Grapalat" w:hAnsi="GHEA Grapalat"/>
          <w:sz w:val="22"/>
          <w:szCs w:val="22"/>
        </w:rPr>
      </w:pPr>
    </w:p>
    <w:p w:rsidR="00664493" w:rsidRPr="00CB396C" w:rsidRDefault="00664493" w:rsidP="00664493">
      <w:pPr>
        <w:spacing w:line="360" w:lineRule="auto"/>
        <w:ind w:firstLine="562"/>
        <w:contextualSpacing/>
        <w:jc w:val="both"/>
        <w:rPr>
          <w:rFonts w:ascii="GHEA Grapalat" w:hAnsi="GHEA Grapalat"/>
          <w:sz w:val="22"/>
          <w:szCs w:val="22"/>
        </w:rPr>
      </w:pPr>
      <w:r w:rsidRPr="00CB396C">
        <w:rPr>
          <w:rFonts w:ascii="GHEA Grapalat" w:hAnsi="GHEA Grapalat"/>
          <w:sz w:val="22"/>
          <w:szCs w:val="22"/>
        </w:rPr>
        <w:t>Ռուս-ուկրաինական հակամարտության պայմաններում 2022 թվականի մարտ ամսից արագացող գնաճը զսպելու նպատակով առաջատար տնտեսությունների կենտրոնական բանկերի կողմից իրականացվող շարունակական զսպող քաղաքականության արդյունքում տարեսկզբից շարունակվում է գնաճի տեմպերի դանդաղումը:</w:t>
      </w:r>
    </w:p>
    <w:p w:rsidR="00774133" w:rsidRPr="00CB396C" w:rsidRDefault="00774133" w:rsidP="00664493">
      <w:pPr>
        <w:spacing w:line="360" w:lineRule="auto"/>
        <w:ind w:firstLine="562"/>
        <w:contextualSpacing/>
        <w:jc w:val="both"/>
        <w:rPr>
          <w:rFonts w:ascii="GHEA Grapalat" w:hAnsi="GHEA Grapalat"/>
          <w:sz w:val="22"/>
          <w:szCs w:val="22"/>
        </w:rPr>
      </w:pPr>
    </w:p>
    <w:p w:rsidR="00664493" w:rsidRPr="00CB396C" w:rsidRDefault="00664493" w:rsidP="00BB6A15">
      <w:pPr>
        <w:pStyle w:val="a"/>
        <w:rPr>
          <w:lang w:val="hy-AM"/>
        </w:rPr>
      </w:pPr>
      <w:r w:rsidRPr="00CB396C">
        <w:rPr>
          <w:lang w:val="hy-AM"/>
        </w:rPr>
        <w:t>Գնաճն ու դրամավարկային քաղաքականության արձագանքը գործընկեր երկրներում</w:t>
      </w:r>
      <w:r w:rsidRPr="00CB396C">
        <w:rPr>
          <w:vertAlign w:val="superscript"/>
        </w:rPr>
        <w:footnoteReference w:id="5"/>
      </w:r>
    </w:p>
    <w:tbl>
      <w:tblPr>
        <w:tblW w:w="9804" w:type="dxa"/>
        <w:jc w:val="center"/>
        <w:tblLook w:val="04A0" w:firstRow="1" w:lastRow="0" w:firstColumn="1" w:lastColumn="0" w:noHBand="0" w:noVBand="1"/>
      </w:tblPr>
      <w:tblGrid>
        <w:gridCol w:w="9804"/>
      </w:tblGrid>
      <w:tr w:rsidR="00664493" w:rsidRPr="00CB396C" w:rsidTr="00D87203">
        <w:trPr>
          <w:trHeight w:val="3782"/>
          <w:jc w:val="center"/>
        </w:trPr>
        <w:tc>
          <w:tcPr>
            <w:tcW w:w="9804" w:type="dxa"/>
            <w:shd w:val="clear" w:color="auto" w:fill="auto"/>
          </w:tcPr>
          <w:p w:rsidR="00664493" w:rsidRPr="00CB396C" w:rsidRDefault="00664493" w:rsidP="00D87203">
            <w:pPr>
              <w:spacing w:line="360" w:lineRule="auto"/>
              <w:jc w:val="both"/>
              <w:rPr>
                <w:rFonts w:ascii="GHEA Grapalat" w:hAnsi="GHEA Grapalat"/>
                <w:b/>
                <w:sz w:val="22"/>
              </w:rPr>
            </w:pPr>
            <w:r w:rsidRPr="00CB396C">
              <w:rPr>
                <w:rFonts w:ascii="GHEA Grapalat" w:hAnsi="GHEA Grapalat"/>
                <w:b/>
                <w:noProof/>
                <w:sz w:val="22"/>
              </w:rPr>
              <w:drawing>
                <wp:inline distT="0" distB="0" distL="0" distR="0" wp14:anchorId="3375EEA6" wp14:editId="4E513277">
                  <wp:extent cx="2934335" cy="2360427"/>
                  <wp:effectExtent l="0" t="0" r="18415" b="1905"/>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B396C">
              <w:rPr>
                <w:rFonts w:ascii="GHEA Grapalat" w:hAnsi="GHEA Grapalat"/>
                <w:b/>
                <w:noProof/>
                <w:sz w:val="22"/>
              </w:rPr>
              <w:drawing>
                <wp:inline distT="0" distB="0" distL="0" distR="0" wp14:anchorId="1C09E91B" wp14:editId="43407D89">
                  <wp:extent cx="2992755" cy="2361600"/>
                  <wp:effectExtent l="0" t="0" r="17145" b="635"/>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4493" w:rsidRPr="00CB396C" w:rsidRDefault="00664493" w:rsidP="00D87203">
            <w:pPr>
              <w:spacing w:line="360" w:lineRule="auto"/>
              <w:jc w:val="both"/>
              <w:rPr>
                <w:rFonts w:ascii="GHEA Grapalat" w:hAnsi="GHEA Grapalat"/>
                <w:i/>
                <w:sz w:val="22"/>
              </w:rPr>
            </w:pPr>
            <w:r w:rsidRPr="00CB396C">
              <w:rPr>
                <w:rFonts w:ascii="GHEA Grapalat" w:hAnsi="GHEA Grapalat"/>
                <w:i/>
                <w:sz w:val="18"/>
                <w:szCs w:val="22"/>
              </w:rPr>
              <w:t>Աղբյուրը՝ ԱՄՆ ԴՊՀ, ԵԿԲ, Չինաստանի ժողովրդական բանկ, ՌԴ ԿԲ</w:t>
            </w:r>
          </w:p>
        </w:tc>
      </w:tr>
    </w:tbl>
    <w:p w:rsidR="00793C13" w:rsidRPr="00CB396C" w:rsidRDefault="00793C13" w:rsidP="00664493">
      <w:pPr>
        <w:spacing w:before="120" w:line="360" w:lineRule="auto"/>
        <w:ind w:firstLine="567"/>
        <w:jc w:val="both"/>
        <w:rPr>
          <w:rFonts w:ascii="GHEA Grapalat" w:hAnsi="GHEA Grapalat"/>
          <w:b/>
          <w:i/>
          <w:iCs/>
          <w:sz w:val="22"/>
        </w:rPr>
      </w:pPr>
    </w:p>
    <w:p w:rsidR="00664493" w:rsidRPr="00CB396C" w:rsidRDefault="00664493" w:rsidP="00664493">
      <w:pPr>
        <w:spacing w:before="120" w:line="360" w:lineRule="auto"/>
        <w:ind w:firstLine="567"/>
        <w:jc w:val="both"/>
        <w:rPr>
          <w:rFonts w:ascii="GHEA Grapalat" w:hAnsi="GHEA Grapalat"/>
          <w:sz w:val="22"/>
        </w:rPr>
      </w:pPr>
      <w:r w:rsidRPr="00CB396C">
        <w:rPr>
          <w:rFonts w:ascii="GHEA Grapalat" w:hAnsi="GHEA Grapalat"/>
          <w:b/>
          <w:i/>
          <w:iCs/>
          <w:sz w:val="22"/>
        </w:rPr>
        <w:lastRenderedPageBreak/>
        <w:t>Միջազգային գներ</w:t>
      </w:r>
      <w:r w:rsidRPr="00CB396C">
        <w:rPr>
          <w:rFonts w:ascii="GHEA Grapalat" w:hAnsi="GHEA Grapalat"/>
          <w:b/>
          <w:i/>
          <w:iCs/>
          <w:sz w:val="22"/>
          <w:vertAlign w:val="superscript"/>
        </w:rPr>
        <w:footnoteReference w:id="6"/>
      </w:r>
      <w:r w:rsidRPr="00CB396C">
        <w:rPr>
          <w:rFonts w:ascii="GHEA Grapalat" w:hAnsi="GHEA Grapalat"/>
          <w:b/>
          <w:sz w:val="22"/>
        </w:rPr>
        <w:t>:</w:t>
      </w:r>
      <w:r w:rsidRPr="00CB396C">
        <w:rPr>
          <w:rFonts w:ascii="GHEA Grapalat" w:hAnsi="GHEA Grapalat"/>
          <w:sz w:val="22"/>
        </w:rPr>
        <w:t xml:space="preserve"> 2023 թվականի առաջին եռամսյակում հումքային և պարենային ապրանքների շուկայում գնաճային ճնշումները թուլացել են՝ պայմանավորված համաշխարհային մատակարարման շղթաների վերականգնմամբ, կենտրոնական բանկերի կողմից վարվող խստացող դրամավարկային քաղաքականությամբ: Նավթի միջազգային գները 2023 թվականի առաջին եռամսյակում նախորդ տարվա համապատասխան ժամանակահատվածի նկատմամբ նվազել են միջինում 17.7%-ով՝ 2023 թվականի մարտին կազմելով 78.5 ԱՄՆ դոլար մեկ բարելի դիմաց: </w:t>
      </w:r>
    </w:p>
    <w:p w:rsidR="00664493" w:rsidRPr="00CB396C" w:rsidRDefault="00664493" w:rsidP="00664493">
      <w:pPr>
        <w:spacing w:line="360" w:lineRule="auto"/>
        <w:ind w:firstLine="567"/>
        <w:jc w:val="both"/>
        <w:rPr>
          <w:rFonts w:ascii="GHEA Grapalat" w:hAnsi="GHEA Grapalat"/>
          <w:sz w:val="22"/>
        </w:rPr>
      </w:pPr>
      <w:r w:rsidRPr="00CB396C">
        <w:rPr>
          <w:rFonts w:ascii="GHEA Grapalat" w:hAnsi="GHEA Grapalat"/>
          <w:sz w:val="22"/>
        </w:rPr>
        <w:t>Պղնձի միջազգային գները նույնպես շարունակել են նվազել՝ եռամսյակի սկզբի համեմատ ավելի արագ տեմպերով. 2023 թվականի առաջին եռամսյակում պղնձի միջազգային գները նվազել են 10.4%-ով՝ մարտ ամսին կազմելով 8,856.3 ԱՄՆ դոլար մեկ տոննայի համար: Մոլիբդենի միջազգային գները փետրվարի կտրուկ աճից հետո նվազել են՝ մարտ ամսին կազմելով 74,000 ԱՄՆ դոլար մեկ տոննայի համար:</w:t>
      </w:r>
    </w:p>
    <w:p w:rsidR="00664493" w:rsidRPr="00CB396C" w:rsidRDefault="00664493" w:rsidP="00664493">
      <w:pPr>
        <w:spacing w:line="360" w:lineRule="auto"/>
        <w:ind w:firstLine="567"/>
        <w:jc w:val="both"/>
        <w:rPr>
          <w:rFonts w:ascii="GHEA Grapalat" w:hAnsi="GHEA Grapalat"/>
          <w:sz w:val="22"/>
          <w:szCs w:val="22"/>
        </w:rPr>
      </w:pPr>
      <w:r w:rsidRPr="00CB396C">
        <w:rPr>
          <w:rFonts w:ascii="GHEA Grapalat" w:hAnsi="GHEA Grapalat"/>
          <w:sz w:val="22"/>
          <w:szCs w:val="22"/>
        </w:rPr>
        <w:t>Պարենի միջազգային գները</w:t>
      </w:r>
      <w:r w:rsidRPr="00CB396C">
        <w:rPr>
          <w:rFonts w:ascii="GHEA Grapalat" w:hAnsi="GHEA Grapalat"/>
          <w:sz w:val="22"/>
          <w:szCs w:val="22"/>
          <w:vertAlign w:val="superscript"/>
        </w:rPr>
        <w:footnoteReference w:id="7"/>
      </w:r>
      <w:r w:rsidRPr="00CB396C">
        <w:rPr>
          <w:rFonts w:ascii="GHEA Grapalat" w:hAnsi="GHEA Grapalat"/>
          <w:sz w:val="22"/>
          <w:szCs w:val="22"/>
        </w:rPr>
        <w:t xml:space="preserve"> 2023 թվականի առաջին եռամսյակում շարունակաբար նվազել են</w:t>
      </w:r>
      <w:r w:rsidR="00793C13" w:rsidRPr="00CB396C">
        <w:rPr>
          <w:rFonts w:ascii="GHEA Grapalat" w:hAnsi="GHEA Grapalat"/>
          <w:sz w:val="22"/>
          <w:szCs w:val="22"/>
          <w:lang w:val="hy-AM"/>
        </w:rPr>
        <w:t>՝</w:t>
      </w:r>
      <w:r w:rsidRPr="00CB396C">
        <w:rPr>
          <w:rFonts w:ascii="GHEA Grapalat" w:hAnsi="GHEA Grapalat"/>
          <w:sz w:val="22"/>
          <w:szCs w:val="22"/>
        </w:rPr>
        <w:t xml:space="preserve"> պայմանավորված որոշ ապրանքների (կաթնամթերք, հացահատիկ, բուսական յուղեր, շաքարավազ) միջազգային գների նվազմամբ, ինչպես նաև դրամավարկային քաղաքականության բարձր տոկոսադրույքներով:</w:t>
      </w:r>
    </w:p>
    <w:p w:rsidR="00793C13" w:rsidRPr="00CB396C" w:rsidRDefault="00793C13" w:rsidP="00664493">
      <w:pPr>
        <w:spacing w:line="360" w:lineRule="auto"/>
        <w:ind w:firstLine="567"/>
        <w:jc w:val="both"/>
        <w:rPr>
          <w:rFonts w:ascii="GHEA Grapalat" w:hAnsi="GHEA Grapalat"/>
          <w:sz w:val="22"/>
          <w:szCs w:val="22"/>
        </w:rPr>
      </w:pPr>
    </w:p>
    <w:p w:rsidR="00664493" w:rsidRPr="00CB396C" w:rsidRDefault="00664493" w:rsidP="00BB6A15">
      <w:pPr>
        <w:pStyle w:val="a"/>
        <w:rPr>
          <w:lang w:val="hy-AM"/>
        </w:rPr>
      </w:pPr>
      <w:r w:rsidRPr="00CB396C">
        <w:rPr>
          <w:lang w:val="hy-AM"/>
        </w:rPr>
        <w:t>Նավթի, մետաղների և պարենի գների զարգացումներ</w:t>
      </w:r>
    </w:p>
    <w:p w:rsidR="00664493" w:rsidRPr="00CB396C" w:rsidRDefault="00664493" w:rsidP="00BB6A15">
      <w:pPr>
        <w:pStyle w:val="a"/>
        <w:numPr>
          <w:ilvl w:val="0"/>
          <w:numId w:val="0"/>
        </w:numPr>
        <w:ind w:left="180"/>
        <w:rPr>
          <w:lang w:val="hy-AM"/>
        </w:rPr>
      </w:pPr>
      <w:r w:rsidRPr="00CB396C">
        <w:drawing>
          <wp:inline distT="0" distB="0" distL="0" distR="0" wp14:anchorId="1C1CCA9C" wp14:editId="17959459">
            <wp:extent cx="3060000" cy="2665562"/>
            <wp:effectExtent l="0" t="0" r="7620" b="1905"/>
            <wp:docPr id="8"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B396C">
        <w:rPr>
          <w:sz w:val="20"/>
          <w:szCs w:val="20"/>
        </w:rPr>
        <w:drawing>
          <wp:inline distT="0" distB="0" distL="0" distR="0" wp14:anchorId="6068CD5B" wp14:editId="2F9B10A6">
            <wp:extent cx="3060000" cy="2665203"/>
            <wp:effectExtent l="0" t="0" r="7620" b="1905"/>
            <wp:docPr id="14"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0" w:type="auto"/>
        <w:jc w:val="center"/>
        <w:tblLook w:val="04A0" w:firstRow="1" w:lastRow="0" w:firstColumn="1" w:lastColumn="0" w:noHBand="0" w:noVBand="1"/>
      </w:tblPr>
      <w:tblGrid>
        <w:gridCol w:w="4650"/>
        <w:gridCol w:w="4825"/>
      </w:tblGrid>
      <w:tr w:rsidR="00664493" w:rsidRPr="00CB396C" w:rsidTr="00D87203">
        <w:trPr>
          <w:trHeight w:val="113"/>
          <w:jc w:val="center"/>
        </w:trPr>
        <w:tc>
          <w:tcPr>
            <w:tcW w:w="4650" w:type="dxa"/>
            <w:shd w:val="clear" w:color="auto" w:fill="auto"/>
          </w:tcPr>
          <w:p w:rsidR="00664493" w:rsidRPr="00CB396C" w:rsidRDefault="00664493" w:rsidP="00D87203">
            <w:pPr>
              <w:rPr>
                <w:rFonts w:ascii="GHEA Grapalat" w:eastAsia="Calibri" w:hAnsi="GHEA Grapalat"/>
                <w:i/>
                <w:sz w:val="20"/>
                <w:szCs w:val="20"/>
              </w:rPr>
            </w:pPr>
            <w:r w:rsidRPr="00CB396C">
              <w:rPr>
                <w:rFonts w:ascii="GHEA Grapalat" w:eastAsia="Calibri" w:hAnsi="GHEA Grapalat"/>
                <w:i/>
                <w:sz w:val="20"/>
                <w:szCs w:val="20"/>
              </w:rPr>
              <w:t>Աղբյուրը՝ Համաշխարհային բանկ</w:t>
            </w:r>
          </w:p>
          <w:p w:rsidR="00664493" w:rsidRPr="00CB396C" w:rsidRDefault="00664493" w:rsidP="00D87203">
            <w:pPr>
              <w:rPr>
                <w:rFonts w:ascii="GHEA Grapalat" w:eastAsia="Calibri" w:hAnsi="GHEA Grapalat"/>
                <w:i/>
                <w:sz w:val="20"/>
                <w:szCs w:val="20"/>
              </w:rPr>
            </w:pPr>
          </w:p>
        </w:tc>
        <w:tc>
          <w:tcPr>
            <w:tcW w:w="4825" w:type="dxa"/>
            <w:shd w:val="clear" w:color="auto" w:fill="auto"/>
          </w:tcPr>
          <w:p w:rsidR="00664493" w:rsidRPr="00CB396C" w:rsidRDefault="00664493" w:rsidP="00D87203">
            <w:pPr>
              <w:rPr>
                <w:rFonts w:ascii="GHEA Grapalat" w:eastAsia="GHEA Grapalat" w:hAnsi="GHEA Grapalat" w:cs="GHEA Grapalat"/>
                <w:i/>
                <w:sz w:val="20"/>
                <w:szCs w:val="20"/>
              </w:rPr>
            </w:pPr>
            <w:r w:rsidRPr="00CB396C">
              <w:rPr>
                <w:rFonts w:ascii="GHEA Grapalat" w:eastAsia="GHEA Grapalat" w:hAnsi="GHEA Grapalat" w:cs="GHEA Grapalat"/>
                <w:i/>
                <w:sz w:val="20"/>
                <w:szCs w:val="20"/>
              </w:rPr>
              <w:t>Աղբյուրը՝ ՄԱԿ–ի պարենի և գյուղատնտեսության կազմակերպություն</w:t>
            </w:r>
          </w:p>
        </w:tc>
      </w:tr>
    </w:tbl>
    <w:p w:rsidR="00664493" w:rsidRPr="00CB396C" w:rsidRDefault="00664493"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p>
    <w:p w:rsidR="00563135" w:rsidRPr="00CB396C"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8" w:name="_Toc165293055"/>
      <w:r w:rsidRPr="00CB396C">
        <w:rPr>
          <w:rFonts w:ascii="GHEA Grapalat" w:hAnsi="GHEA Grapalat"/>
          <w:bCs/>
          <w:i w:val="0"/>
          <w:noProof/>
          <w:sz w:val="22"/>
          <w:szCs w:val="22"/>
          <w:lang w:val="de-AT"/>
        </w:rPr>
        <w:t>ՀՀ մակրոտնտեսական զարգացումներ</w:t>
      </w:r>
      <w:bookmarkEnd w:id="16"/>
      <w:bookmarkEnd w:id="17"/>
      <w:bookmarkEnd w:id="18"/>
    </w:p>
    <w:p w:rsidR="00563135" w:rsidRPr="00CB396C" w:rsidRDefault="00563135" w:rsidP="00563135">
      <w:pPr>
        <w:pStyle w:val="Heading6"/>
        <w:ind w:left="567"/>
        <w:rPr>
          <w:rFonts w:ascii="GHEA Grapalat" w:hAnsi="GHEA Grapalat"/>
          <w:b/>
          <w:sz w:val="22"/>
          <w:szCs w:val="22"/>
          <w:u w:val="none"/>
        </w:rPr>
      </w:pPr>
      <w:bookmarkStart w:id="19" w:name="_Toc71311882"/>
      <w:r w:rsidRPr="00CB396C">
        <w:rPr>
          <w:rFonts w:ascii="GHEA Grapalat" w:hAnsi="GHEA Grapalat"/>
          <w:b/>
          <w:sz w:val="22"/>
          <w:szCs w:val="22"/>
          <w:u w:val="none"/>
        </w:rPr>
        <w:t>Համախառն առաջարկ և պահանջարկ</w:t>
      </w:r>
      <w:bookmarkEnd w:id="19"/>
    </w:p>
    <w:p w:rsidR="00664493" w:rsidRPr="00CB396C" w:rsidRDefault="00664493" w:rsidP="00664493">
      <w:pPr>
        <w:spacing w:line="336" w:lineRule="auto"/>
        <w:ind w:firstLine="547"/>
        <w:jc w:val="both"/>
        <w:rPr>
          <w:rFonts w:ascii="GHEA Grapalat" w:hAnsi="GHEA Grapalat"/>
          <w:sz w:val="22"/>
          <w:szCs w:val="22"/>
          <w:lang w:val="hy-AM"/>
        </w:rPr>
      </w:pPr>
      <w:r w:rsidRPr="00CB396C">
        <w:rPr>
          <w:rFonts w:ascii="GHEA Grapalat" w:eastAsia="GHEA Grapalat" w:hAnsi="GHEA Grapalat" w:cs="GHEA Grapalat"/>
          <w:b/>
          <w:i/>
          <w:iCs/>
          <w:sz w:val="22"/>
          <w:szCs w:val="22"/>
          <w:lang w:val="hy-AM"/>
        </w:rPr>
        <w:t>Համախառն առաջարկ:</w:t>
      </w:r>
      <w:r w:rsidRPr="00CB396C">
        <w:rPr>
          <w:rFonts w:ascii="GHEA Grapalat" w:eastAsia="GHEA Grapalat" w:hAnsi="GHEA Grapalat" w:cs="GHEA Grapalat"/>
          <w:b/>
          <w:sz w:val="22"/>
          <w:szCs w:val="22"/>
          <w:lang w:val="hy-AM"/>
        </w:rPr>
        <w:t xml:space="preserve"> </w:t>
      </w:r>
      <w:r w:rsidRPr="00CB396C">
        <w:rPr>
          <w:rFonts w:ascii="GHEA Grapalat" w:hAnsi="GHEA Grapalat"/>
          <w:bCs/>
          <w:sz w:val="22"/>
          <w:lang w:val="hy-AM"/>
        </w:rPr>
        <w:t>Դեպի Հայաստան մարդկանց ներհոսք</w:t>
      </w:r>
      <w:r w:rsidR="00793C13" w:rsidRPr="00CB396C">
        <w:rPr>
          <w:rFonts w:ascii="GHEA Grapalat" w:hAnsi="GHEA Grapalat"/>
          <w:bCs/>
          <w:sz w:val="22"/>
          <w:lang w:val="hy-AM"/>
        </w:rPr>
        <w:t>ի</w:t>
      </w:r>
      <w:r w:rsidRPr="00CB396C">
        <w:rPr>
          <w:rFonts w:ascii="GHEA Grapalat" w:hAnsi="GHEA Grapalat"/>
          <w:bCs/>
          <w:sz w:val="22"/>
          <w:lang w:val="hy-AM"/>
        </w:rPr>
        <w:t>, զբոսաշրջության զգալի ավելացման, տեղեկատվական տեխնոլոգիաների ոլորտի ընկերությունների</w:t>
      </w:r>
      <w:r w:rsidR="00793C13" w:rsidRPr="00CB396C">
        <w:rPr>
          <w:rFonts w:ascii="GHEA Grapalat" w:hAnsi="GHEA Grapalat"/>
          <w:bCs/>
          <w:sz w:val="22"/>
          <w:lang w:val="hy-AM"/>
        </w:rPr>
        <w:t>՝</w:t>
      </w:r>
      <w:r w:rsidRPr="00CB396C">
        <w:rPr>
          <w:rFonts w:ascii="GHEA Grapalat" w:hAnsi="GHEA Grapalat"/>
          <w:bCs/>
          <w:sz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շարունակվեցին նաև 2023</w:t>
      </w:r>
      <w:r w:rsidR="00793C13" w:rsidRPr="00CB396C">
        <w:rPr>
          <w:rFonts w:ascii="GHEA Grapalat" w:hAnsi="GHEA Grapalat"/>
          <w:bCs/>
          <w:sz w:val="22"/>
          <w:lang w:val="hy-AM"/>
        </w:rPr>
        <w:t xml:space="preserve"> </w:t>
      </w:r>
      <w:r w:rsidRPr="00CB396C">
        <w:rPr>
          <w:rFonts w:ascii="GHEA Grapalat" w:hAnsi="GHEA Grapalat"/>
          <w:bCs/>
          <w:sz w:val="22"/>
          <w:lang w:val="hy-AM"/>
        </w:rPr>
        <w:t>թ</w:t>
      </w:r>
      <w:r w:rsidR="00793C13" w:rsidRPr="00CB396C">
        <w:rPr>
          <w:rFonts w:ascii="GHEA Grapalat" w:hAnsi="GHEA Grapalat"/>
          <w:bCs/>
          <w:sz w:val="22"/>
          <w:lang w:val="hy-AM"/>
        </w:rPr>
        <w:t>վականի</w:t>
      </w:r>
      <w:r w:rsidRPr="00CB396C">
        <w:rPr>
          <w:rFonts w:ascii="GHEA Grapalat" w:hAnsi="GHEA Grapalat"/>
          <w:bCs/>
          <w:sz w:val="22"/>
          <w:lang w:val="hy-AM"/>
        </w:rPr>
        <w:t xml:space="preserve"> առաջին եռամսյակում։</w:t>
      </w:r>
      <w:r w:rsidRPr="00CB396C">
        <w:rPr>
          <w:rFonts w:ascii="GHEA Grapalat" w:eastAsia="GHEA Grapalat" w:hAnsi="GHEA Grapalat" w:cs="GHEA Grapalat"/>
          <w:sz w:val="22"/>
          <w:szCs w:val="22"/>
          <w:lang w:val="hy-AM"/>
        </w:rPr>
        <w:t xml:space="preserve"> Արդյունքում 2023</w:t>
      </w:r>
      <w:r w:rsidR="00793C13" w:rsidRPr="00CB396C">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lang w:val="hy-AM"/>
        </w:rPr>
        <w:t>թ</w:t>
      </w:r>
      <w:r w:rsidR="00793C13" w:rsidRPr="00CB396C">
        <w:rPr>
          <w:rFonts w:ascii="GHEA Grapalat" w:eastAsia="GHEA Grapalat" w:hAnsi="GHEA Grapalat" w:cs="GHEA Grapalat"/>
          <w:sz w:val="22"/>
          <w:szCs w:val="22"/>
          <w:lang w:val="hy-AM"/>
        </w:rPr>
        <w:t>վականի</w:t>
      </w:r>
      <w:r w:rsidRPr="00CB396C">
        <w:rPr>
          <w:rFonts w:ascii="GHEA Grapalat" w:eastAsia="GHEA Grapalat" w:hAnsi="GHEA Grapalat" w:cs="GHEA Grapalat"/>
          <w:sz w:val="22"/>
          <w:szCs w:val="22"/>
          <w:lang w:val="hy-AM"/>
        </w:rPr>
        <w:t xml:space="preserve"> հունվար-մարտին նախորդ տարվա նույն ժամանակահատվածի համեմատ գրանցվեց տնտեսական ակտիվության ցուցանիշի 12.2% աճ (Գծապատկերներ 1-4)։ Տնտեսական ակտիվության աճը </w:t>
      </w:r>
      <w:r w:rsidRPr="00CB396C">
        <w:rPr>
          <w:rFonts w:ascii="GHEA Grapalat" w:hAnsi="GHEA Grapalat"/>
          <w:sz w:val="22"/>
          <w:szCs w:val="22"/>
          <w:lang w:val="hy-AM"/>
        </w:rPr>
        <w:t>հիմնականում պայմանավորված էր</w:t>
      </w:r>
      <w:r w:rsidRPr="00CB396C">
        <w:rPr>
          <w:rFonts w:ascii="GHEA Grapalat" w:hAnsi="GHEA Grapalat"/>
          <w:sz w:val="22"/>
          <w:szCs w:val="22"/>
          <w:lang w:val="af-ZA"/>
        </w:rPr>
        <w:t xml:space="preserve"> </w:t>
      </w:r>
      <w:r w:rsidRPr="00CB396C">
        <w:rPr>
          <w:rFonts w:ascii="GHEA Grapalat" w:hAnsi="GHEA Grapalat"/>
          <w:sz w:val="22"/>
          <w:szCs w:val="22"/>
          <w:lang w:val="hy-AM"/>
        </w:rPr>
        <w:t>ծառայությունների</w:t>
      </w:r>
      <w:r w:rsidRPr="00CB396C">
        <w:rPr>
          <w:rFonts w:ascii="GHEA Grapalat" w:hAnsi="GHEA Grapalat"/>
          <w:sz w:val="22"/>
          <w:szCs w:val="22"/>
          <w:lang w:val="af-ZA"/>
        </w:rPr>
        <w:t xml:space="preserve"> </w:t>
      </w:r>
      <w:r w:rsidRPr="00CB396C">
        <w:rPr>
          <w:rFonts w:ascii="GHEA Grapalat" w:hAnsi="GHEA Grapalat"/>
          <w:sz w:val="22"/>
          <w:szCs w:val="22"/>
          <w:lang w:val="hy-AM"/>
        </w:rPr>
        <w:t xml:space="preserve">աճով </w:t>
      </w:r>
      <w:r w:rsidRPr="00CB396C">
        <w:rPr>
          <w:rFonts w:ascii="GHEA Grapalat" w:eastAsia="GHEA Grapalat" w:hAnsi="GHEA Grapalat" w:cs="GHEA Grapalat"/>
          <w:sz w:val="22"/>
          <w:szCs w:val="22"/>
          <w:lang w:val="hy-AM"/>
        </w:rPr>
        <w:t>(նպաստումը` 6</w:t>
      </w:r>
      <w:r w:rsidRPr="00CB396C">
        <w:rPr>
          <w:rFonts w:ascii="GHEA Grapalat" w:hAnsi="GHEA Grapalat"/>
          <w:sz w:val="22"/>
          <w:szCs w:val="22"/>
          <w:lang w:val="hy-AM"/>
        </w:rPr>
        <w:t>.6 տոկոսային կետ): Տնտեսության մյուս ճյուղերի աճերը ևս նպաստեցին տնտեսական ակտիվությանը։</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sz w:val="22"/>
          <w:szCs w:val="22"/>
          <w:lang w:val="hy-AM"/>
        </w:rPr>
        <w:t>Տնտեսական դրական զարգացումներին իր նպաստումն է շարունակում ունենալ բնակարանային շինարարության ոլորտի բարձր աշխուժությունը, որին նպաստել է հի</w:t>
      </w:r>
      <w:r w:rsidR="00793C13" w:rsidRPr="00CB396C">
        <w:rPr>
          <w:rFonts w:ascii="GHEA Grapalat" w:eastAsia="GHEA Grapalat" w:hAnsi="GHEA Grapalat" w:cs="GHEA Grapalat"/>
          <w:sz w:val="22"/>
          <w:szCs w:val="22"/>
          <w:lang w:val="hy-AM"/>
        </w:rPr>
        <w:t>պոտ</w:t>
      </w:r>
      <w:r w:rsidRPr="00CB396C">
        <w:rPr>
          <w:rFonts w:ascii="GHEA Grapalat" w:eastAsia="GHEA Grapalat" w:hAnsi="GHEA Grapalat" w:cs="GHEA Grapalat"/>
          <w:sz w:val="22"/>
          <w:szCs w:val="22"/>
          <w:lang w:val="hy-AM"/>
        </w:rPr>
        <w:t>ե</w:t>
      </w:r>
      <w:r w:rsidR="00793C13" w:rsidRPr="00CB396C">
        <w:rPr>
          <w:rFonts w:ascii="GHEA Grapalat" w:eastAsia="GHEA Grapalat" w:hAnsi="GHEA Grapalat" w:cs="GHEA Grapalat"/>
          <w:sz w:val="22"/>
          <w:szCs w:val="22"/>
          <w:lang w:val="hy-AM"/>
        </w:rPr>
        <w:t>կ</w:t>
      </w:r>
      <w:r w:rsidRPr="00CB396C">
        <w:rPr>
          <w:rFonts w:ascii="GHEA Grapalat" w:eastAsia="GHEA Grapalat" w:hAnsi="GHEA Grapalat" w:cs="GHEA Grapalat"/>
          <w:sz w:val="22"/>
          <w:szCs w:val="22"/>
          <w:lang w:val="hy-AM"/>
        </w:rPr>
        <w:t>ային վարկերի տոկոսավճարների</w:t>
      </w:r>
      <w:r w:rsidR="00793C13"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եկամտահարկից վերադարձման պետական աջակցության ծրագիրը, ծրագրի</w:t>
      </w:r>
      <w:r w:rsidR="00793C13"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Երևան քաղաքից </w:t>
      </w:r>
      <w:r w:rsidR="00793C13" w:rsidRPr="00CB396C">
        <w:rPr>
          <w:rFonts w:ascii="GHEA Grapalat" w:eastAsia="GHEA Grapalat" w:hAnsi="GHEA Grapalat" w:cs="GHEA Grapalat"/>
          <w:sz w:val="22"/>
          <w:szCs w:val="22"/>
          <w:lang w:val="hy-AM"/>
        </w:rPr>
        <w:t xml:space="preserve">աստիճանական </w:t>
      </w:r>
      <w:r w:rsidRPr="00CB396C">
        <w:rPr>
          <w:rFonts w:ascii="GHEA Grapalat" w:eastAsia="GHEA Grapalat" w:hAnsi="GHEA Grapalat" w:cs="GHEA Grapalat"/>
          <w:sz w:val="22"/>
          <w:szCs w:val="22"/>
          <w:lang w:val="hy-AM"/>
        </w:rPr>
        <w:t>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i/>
          <w:iCs/>
          <w:sz w:val="22"/>
          <w:szCs w:val="22"/>
          <w:lang w:val="hy-AM"/>
        </w:rPr>
        <w:t>Արդյունաբերություն</w:t>
      </w:r>
      <w:r w:rsidRPr="00CB396C">
        <w:rPr>
          <w:rFonts w:ascii="GHEA Grapalat" w:eastAsia="GHEA Grapalat" w:hAnsi="GHEA Grapalat" w:cs="GHEA Grapalat"/>
          <w:bCs/>
          <w:sz w:val="22"/>
          <w:szCs w:val="22"/>
          <w:vertAlign w:val="superscript"/>
        </w:rPr>
        <w:footnoteReference w:id="8"/>
      </w:r>
      <w:r w:rsidRPr="00CB396C">
        <w:rPr>
          <w:rFonts w:ascii="GHEA Grapalat" w:eastAsia="GHEA Grapalat" w:hAnsi="GHEA Grapalat" w:cs="GHEA Grapalat"/>
          <w:b/>
          <w:i/>
          <w:iCs/>
          <w:sz w:val="22"/>
          <w:szCs w:val="22"/>
          <w:lang w:val="hy-AM"/>
        </w:rPr>
        <w:t>։</w:t>
      </w:r>
      <w:r w:rsidRPr="00CB396C">
        <w:rPr>
          <w:rFonts w:ascii="GHEA Grapalat" w:eastAsia="GHEA Grapalat" w:hAnsi="GHEA Grapalat" w:cs="GHEA Grapalat"/>
          <w:b/>
          <w:sz w:val="22"/>
          <w:szCs w:val="22"/>
          <w:lang w:val="hy-AM"/>
        </w:rPr>
        <w:t xml:space="preserve"> </w:t>
      </w:r>
      <w:r w:rsidRPr="00CB396C">
        <w:rPr>
          <w:rFonts w:ascii="GHEA Grapalat" w:eastAsia="GHEA Grapalat" w:hAnsi="GHEA Grapalat" w:cs="GHEA Grapalat"/>
          <w:sz w:val="22"/>
          <w:szCs w:val="22"/>
          <w:lang w:val="hy-AM"/>
        </w:rPr>
        <w:t>Արդյունաբերության ճյուղի</w:t>
      </w:r>
      <w:r w:rsidRPr="00CB396C">
        <w:rPr>
          <w:rFonts w:ascii="GHEA Grapalat" w:eastAsia="GHEA Grapalat" w:hAnsi="GHEA Grapalat" w:cs="GHEA Grapalat"/>
          <w:b/>
          <w:sz w:val="22"/>
          <w:szCs w:val="22"/>
          <w:lang w:val="hy-AM"/>
        </w:rPr>
        <w:t xml:space="preserve"> </w:t>
      </w:r>
      <w:r w:rsidRPr="00CB396C">
        <w:rPr>
          <w:rFonts w:ascii="GHEA Grapalat" w:eastAsia="GHEA Grapalat" w:hAnsi="GHEA Grapalat" w:cs="GHEA Grapalat"/>
          <w:bCs/>
          <w:sz w:val="22"/>
          <w:szCs w:val="22"/>
          <w:lang w:val="hy-AM"/>
        </w:rPr>
        <w:t>2023</w:t>
      </w:r>
      <w:r w:rsidR="00793C13" w:rsidRPr="00CB396C">
        <w:rPr>
          <w:rFonts w:ascii="GHEA Grapalat" w:eastAsia="GHEA Grapalat" w:hAnsi="GHEA Grapalat" w:cs="GHEA Grapalat"/>
          <w:bCs/>
          <w:sz w:val="22"/>
          <w:szCs w:val="22"/>
          <w:lang w:val="hy-AM"/>
        </w:rPr>
        <w:t xml:space="preserve"> </w:t>
      </w:r>
      <w:r w:rsidRPr="00CB396C">
        <w:rPr>
          <w:rFonts w:ascii="GHEA Grapalat" w:eastAsia="GHEA Grapalat" w:hAnsi="GHEA Grapalat" w:cs="GHEA Grapalat"/>
          <w:bCs/>
          <w:sz w:val="22"/>
          <w:szCs w:val="22"/>
          <w:lang w:val="hy-AM"/>
        </w:rPr>
        <w:t>թ</w:t>
      </w:r>
      <w:r w:rsidR="00793C13" w:rsidRPr="00CB396C">
        <w:rPr>
          <w:rFonts w:ascii="GHEA Grapalat" w:eastAsia="GHEA Grapalat" w:hAnsi="GHEA Grapalat" w:cs="GHEA Grapalat"/>
          <w:bCs/>
          <w:sz w:val="22"/>
          <w:szCs w:val="22"/>
          <w:lang w:val="hy-AM"/>
        </w:rPr>
        <w:t>վականի</w:t>
      </w:r>
      <w:r w:rsidRPr="00CB396C">
        <w:rPr>
          <w:rFonts w:ascii="GHEA Grapalat" w:eastAsia="GHEA Grapalat" w:hAnsi="GHEA Grapalat" w:cs="GHEA Grapalat"/>
          <w:bCs/>
          <w:sz w:val="22"/>
          <w:szCs w:val="22"/>
          <w:lang w:val="hy-AM"/>
        </w:rPr>
        <w:t xml:space="preserve"> հունվար-փետրվարի աճի ցածր տեմպերը մարտ ամսին կտրուկ արագացել են</w:t>
      </w:r>
      <w:r w:rsidR="00793C13" w:rsidRPr="00CB396C">
        <w:rPr>
          <w:rFonts w:ascii="GHEA Grapalat" w:eastAsia="GHEA Grapalat" w:hAnsi="GHEA Grapalat" w:cs="GHEA Grapalat"/>
          <w:bCs/>
          <w:sz w:val="22"/>
          <w:szCs w:val="22"/>
          <w:lang w:val="hy-AM"/>
        </w:rPr>
        <w:t>,</w:t>
      </w:r>
      <w:r w:rsidRPr="00CB396C">
        <w:rPr>
          <w:rFonts w:ascii="GHEA Grapalat" w:eastAsia="GHEA Grapalat" w:hAnsi="GHEA Grapalat" w:cs="GHEA Grapalat"/>
          <w:bCs/>
          <w:sz w:val="22"/>
          <w:szCs w:val="22"/>
          <w:lang w:val="hy-AM"/>
        </w:rPr>
        <w:t xml:space="preserve"> արդյունքում՝ առաջին եռամսյակում արդյունաբերության ճյուղում գրանցվել է 3.6% թողարկման աճ։ Արդյունաբերության աճը հիմնականում </w:t>
      </w:r>
      <w:r w:rsidRPr="00CB396C">
        <w:rPr>
          <w:rFonts w:ascii="GHEA Grapalat" w:eastAsia="GHEA Grapalat" w:hAnsi="GHEA Grapalat" w:cs="Arial"/>
          <w:bCs/>
          <w:sz w:val="22"/>
          <w:szCs w:val="22"/>
          <w:lang w:val="hy-AM"/>
        </w:rPr>
        <w:t xml:space="preserve">պայմանավորված է եղել մշակող արդյունաբերության </w:t>
      </w:r>
      <w:r w:rsidRPr="00CB396C">
        <w:rPr>
          <w:rFonts w:ascii="GHEA Grapalat" w:eastAsia="GHEA Grapalat" w:hAnsi="GHEA Grapalat" w:cs="Arial"/>
          <w:sz w:val="22"/>
          <w:szCs w:val="22"/>
          <w:lang w:val="hy-AM"/>
        </w:rPr>
        <w:t>աճով (նպաստումը՝ 4.5 տոկոսային կետ):</w:t>
      </w:r>
      <w:r w:rsidRPr="00CB396C">
        <w:rPr>
          <w:rFonts w:ascii="GHEA Grapalat" w:hAnsi="GHEA Grapalat"/>
          <w:lang w:val="hy-AM"/>
        </w:rPr>
        <w:t xml:space="preserve"> </w:t>
      </w:r>
      <w:r w:rsidRPr="00CB396C">
        <w:rPr>
          <w:rFonts w:ascii="GHEA Grapalat" w:eastAsia="GHEA Grapalat" w:hAnsi="GHEA Grapalat" w:cs="GHEA Grapalat"/>
          <w:sz w:val="22"/>
          <w:szCs w:val="22"/>
          <w:lang w:val="hy-AM"/>
        </w:rPr>
        <w:t>Միաժամանակ հանքագործական արդյունաբերություն և բացհանքերի շահագործում</w:t>
      </w:r>
      <w:r w:rsidRPr="00CB396C" w:rsidDel="009C46B7">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lang w:val="hy-AM"/>
        </w:rPr>
        <w:t xml:space="preserve">ենթաճյուղի նվազումը բացասաբար է ազդել (0.8 տոկոսային կետով) արդյունաբերության </w:t>
      </w:r>
      <w:r w:rsidR="00793C13" w:rsidRPr="00CB396C">
        <w:rPr>
          <w:rFonts w:ascii="GHEA Grapalat" w:eastAsia="GHEA Grapalat" w:hAnsi="GHEA Grapalat" w:cs="GHEA Grapalat"/>
          <w:sz w:val="22"/>
          <w:szCs w:val="22"/>
          <w:lang w:val="hy-AM"/>
        </w:rPr>
        <w:t>աճի վրա՝</w:t>
      </w:r>
      <w:r w:rsidRPr="00CB396C">
        <w:rPr>
          <w:rFonts w:ascii="GHEA Grapalat" w:eastAsia="GHEA Grapalat" w:hAnsi="GHEA Grapalat" w:cs="GHEA Grapalat"/>
          <w:sz w:val="22"/>
          <w:szCs w:val="22"/>
          <w:lang w:val="de-DE"/>
        </w:rPr>
        <w:t xml:space="preserve"> </w:t>
      </w:r>
      <w:r w:rsidRPr="00CB396C">
        <w:rPr>
          <w:rFonts w:ascii="GHEA Grapalat" w:eastAsia="GHEA Grapalat" w:hAnsi="GHEA Grapalat" w:cs="GHEA Grapalat"/>
          <w:sz w:val="22"/>
          <w:szCs w:val="22"/>
          <w:lang w:val="hy-AM"/>
        </w:rPr>
        <w:t>պայմանավորված</w:t>
      </w:r>
      <w:r w:rsidRPr="00CB396C">
        <w:rPr>
          <w:rFonts w:ascii="GHEA Grapalat" w:eastAsia="GHEA Grapalat" w:hAnsi="GHEA Grapalat" w:cs="GHEA Grapalat"/>
          <w:sz w:val="22"/>
          <w:szCs w:val="22"/>
          <w:lang w:val="de-DE"/>
        </w:rPr>
        <w:t xml:space="preserve"> մետաղական հանքաքարի արդյունահանման </w:t>
      </w:r>
      <w:r w:rsidRPr="00CB396C">
        <w:rPr>
          <w:rFonts w:ascii="GHEA Grapalat" w:eastAsia="GHEA Grapalat" w:hAnsi="GHEA Grapalat" w:cs="GHEA Grapalat"/>
          <w:sz w:val="22"/>
          <w:szCs w:val="22"/>
          <w:lang w:val="hy-AM"/>
        </w:rPr>
        <w:t>նվազմամբ</w:t>
      </w:r>
      <w:r w:rsidRPr="00CB396C">
        <w:rPr>
          <w:rFonts w:ascii="GHEA Grapalat" w:eastAsia="GHEA Grapalat" w:hAnsi="GHEA Grapalat" w:cs="GHEA Grapalat"/>
          <w:sz w:val="22"/>
          <w:szCs w:val="22"/>
          <w:lang w:val="de-DE"/>
        </w:rPr>
        <w:t xml:space="preserve"> </w:t>
      </w:r>
      <w:r w:rsidRPr="00CB396C">
        <w:rPr>
          <w:rFonts w:ascii="GHEA Grapalat" w:eastAsia="GHEA Grapalat" w:hAnsi="GHEA Grapalat" w:cs="GHEA Grapalat"/>
          <w:sz w:val="22"/>
          <w:szCs w:val="22"/>
          <w:lang w:val="hy-AM"/>
        </w:rPr>
        <w:t xml:space="preserve">(նպաստումը` </w:t>
      </w:r>
      <w:r w:rsidRPr="00CB396C">
        <w:rPr>
          <w:rFonts w:ascii="GHEA Grapalat" w:eastAsia="GHEA Grapalat" w:hAnsi="GHEA Grapalat" w:cs="GHEA Grapalat"/>
          <w:sz w:val="22"/>
          <w:szCs w:val="22"/>
          <w:lang w:val="de-DE"/>
        </w:rPr>
        <w:t>-0.9</w:t>
      </w:r>
      <w:r w:rsidRPr="00CB396C">
        <w:rPr>
          <w:rFonts w:ascii="GHEA Grapalat" w:eastAsia="GHEA Grapalat" w:hAnsi="GHEA Grapalat" w:cs="GHEA Grapalat"/>
          <w:sz w:val="22"/>
          <w:szCs w:val="22"/>
          <w:lang w:val="hy-AM"/>
        </w:rPr>
        <w:t xml:space="preserve"> տոկոսային կետ): </w:t>
      </w:r>
    </w:p>
    <w:p w:rsidR="00664493" w:rsidRPr="00146D21" w:rsidRDefault="00664493" w:rsidP="00664493">
      <w:pPr>
        <w:spacing w:line="336" w:lineRule="auto"/>
        <w:ind w:firstLine="547"/>
        <w:jc w:val="both"/>
        <w:rPr>
          <w:rFonts w:ascii="GHEA Grapalat" w:eastAsia="GHEA Grapalat" w:hAnsi="GHEA Grapalat" w:cs="GHEA Grapalat"/>
          <w:sz w:val="22"/>
          <w:szCs w:val="22"/>
          <w:lang w:val="hy-AM"/>
        </w:rPr>
      </w:pPr>
      <w:r w:rsidRPr="00146D21">
        <w:rPr>
          <w:rFonts w:ascii="GHEA Grapalat" w:eastAsia="GHEA Grapalat" w:hAnsi="GHEA Grapalat" w:cs="GHEA Grapalat"/>
          <w:sz w:val="22"/>
          <w:szCs w:val="22"/>
          <w:lang w:val="hy-AM"/>
        </w:rPr>
        <w:t>Մշակող արդյունաբերության աճին նպաստել է ինչպես ներքին, այնպես էլ արտաքին պահանջարկի աճը: ՌԴ ներմուծման շուկաների սահմանափակումները շարունակել են նպաստել ՀՀ-ից դեպի ՌԴ մշակող արդյունաբերության արտահանման ավելացմանը, իսկ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w:t>
      </w:r>
      <w:r w:rsidRPr="00146D21">
        <w:rPr>
          <w:rFonts w:ascii="GHEA Grapalat" w:eastAsia="GHEA Grapalat" w:hAnsi="GHEA Grapalat" w:cs="Sylfaen"/>
          <w:sz w:val="22"/>
          <w:szCs w:val="22"/>
          <w:lang w:val="hy-AM"/>
        </w:rPr>
        <w:t xml:space="preserve">քային արտադրատեսակների </w:t>
      </w:r>
      <w:r w:rsidRPr="00146D21">
        <w:rPr>
          <w:rFonts w:ascii="GHEA Grapalat" w:eastAsia="GHEA Grapalat" w:hAnsi="GHEA Grapalat" w:cs="GHEA Grapalat"/>
          <w:sz w:val="22"/>
          <w:szCs w:val="22"/>
          <w:lang w:val="hy-AM"/>
        </w:rPr>
        <w:t xml:space="preserve">(նպաստումը` 2.4 տոկոսային կետ), ոսկերչական </w:t>
      </w:r>
      <w:r w:rsidRPr="00146D21">
        <w:rPr>
          <w:rFonts w:ascii="GHEA Grapalat" w:eastAsia="GHEA Grapalat" w:hAnsi="GHEA Grapalat" w:cs="GHEA Grapalat"/>
          <w:sz w:val="22"/>
          <w:szCs w:val="22"/>
          <w:lang w:val="hy-AM"/>
        </w:rPr>
        <w:lastRenderedPageBreak/>
        <w:t xml:space="preserve">արտադրատեսակների (նպաստումը` 2.0 տոկոսային կետ), պոլիգրաֆիական գործունեության (նպաստումը` 1.7 տոկոսային կետ), ծխախոտային արտադրատեսակների (նպաստումը` 1.6 տոկոսային կետ), ինչպես նաև խմիչքների (նպաստումը` 1.4 տոկոսային կետ) արտադրության ծավալների աճով: </w:t>
      </w:r>
    </w:p>
    <w:p w:rsidR="00664493" w:rsidRPr="00146D21" w:rsidRDefault="00664493" w:rsidP="00664493">
      <w:pPr>
        <w:spacing w:line="336" w:lineRule="auto"/>
        <w:ind w:firstLine="567"/>
        <w:jc w:val="both"/>
        <w:rPr>
          <w:rFonts w:ascii="GHEA Grapalat" w:eastAsia="GHEA Grapalat" w:hAnsi="GHEA Grapalat" w:cs="Sylfaen"/>
          <w:sz w:val="22"/>
          <w:szCs w:val="22"/>
          <w:lang w:val="hy-AM"/>
        </w:rPr>
      </w:pPr>
      <w:r w:rsidRPr="00146D21">
        <w:rPr>
          <w:rFonts w:ascii="GHEA Grapalat" w:eastAsia="GHEA Grapalat" w:hAnsi="GHEA Grapalat" w:cs="GHEA Grapalat"/>
          <w:b/>
          <w:i/>
          <w:iCs/>
          <w:sz w:val="22"/>
          <w:szCs w:val="22"/>
          <w:lang w:val="hy-AM"/>
        </w:rPr>
        <w:t>Գյուղատնտեսություն։</w:t>
      </w:r>
      <w:r w:rsidRPr="00146D21">
        <w:rPr>
          <w:rFonts w:ascii="GHEA Grapalat" w:eastAsia="GHEA Grapalat" w:hAnsi="GHEA Grapalat" w:cs="GHEA Grapalat"/>
          <w:b/>
          <w:sz w:val="22"/>
          <w:szCs w:val="22"/>
          <w:lang w:val="hy-AM"/>
        </w:rPr>
        <w:t xml:space="preserve"> </w:t>
      </w:r>
      <w:r w:rsidRPr="00146D21">
        <w:rPr>
          <w:rFonts w:ascii="GHEA Grapalat" w:eastAsia="GHEA Grapalat" w:hAnsi="GHEA Grapalat" w:cs="GHEA Grapalat"/>
          <w:sz w:val="22"/>
          <w:szCs w:val="22"/>
          <w:lang w:val="hy-AM"/>
        </w:rPr>
        <w:t>2023 թվականի</w:t>
      </w:r>
      <w:r w:rsidRPr="00146D21">
        <w:rPr>
          <w:rFonts w:ascii="GHEA Grapalat" w:eastAsia="GHEA Grapalat" w:hAnsi="GHEA Grapalat" w:cs="GHEA Grapalat"/>
          <w:b/>
          <w:sz w:val="22"/>
          <w:szCs w:val="22"/>
          <w:lang w:val="hy-AM"/>
        </w:rPr>
        <w:t xml:space="preserve"> </w:t>
      </w:r>
      <w:r w:rsidRPr="00146D21">
        <w:rPr>
          <w:rFonts w:ascii="GHEA Grapalat" w:eastAsia="GHEA Grapalat" w:hAnsi="GHEA Grapalat" w:cs="GHEA Grapalat"/>
          <w:sz w:val="22"/>
          <w:szCs w:val="22"/>
          <w:lang w:val="hy-AM"/>
        </w:rPr>
        <w:t>առաջին եռամսյակում գ</w:t>
      </w:r>
      <w:r w:rsidRPr="00146D21">
        <w:rPr>
          <w:rFonts w:ascii="GHEA Grapalat" w:eastAsia="GHEA Grapalat" w:hAnsi="GHEA Grapalat" w:cs="GHEA Grapalat"/>
          <w:bCs/>
          <w:sz w:val="22"/>
          <w:szCs w:val="22"/>
          <w:lang w:val="hy-AM"/>
        </w:rPr>
        <w:t>յուղատնտեսության, անտառային տնտեսության և ձկնորսության համախառն արտադրանքն աճել է 0.8%-ով՝</w:t>
      </w:r>
      <w:r w:rsidRPr="00146D21">
        <w:rPr>
          <w:rFonts w:ascii="GHEA Grapalat" w:eastAsia="GHEA Grapalat" w:hAnsi="GHEA Grapalat" w:cs="GHEA Grapalat"/>
          <w:sz w:val="22"/>
          <w:szCs w:val="22"/>
          <w:lang w:val="hy-AM"/>
        </w:rPr>
        <w:t xml:space="preserve"> պայմանավորված բուսաբուծության աճով (</w:t>
      </w:r>
      <w:r w:rsidRPr="00146D21">
        <w:rPr>
          <w:rFonts w:ascii="GHEA Grapalat" w:eastAsia="GHEA Grapalat" w:hAnsi="GHEA Grapalat" w:cs="Sylfaen"/>
          <w:sz w:val="22"/>
          <w:szCs w:val="22"/>
          <w:lang w:val="hy-AM"/>
        </w:rPr>
        <w:t>նպաստումը</w:t>
      </w:r>
      <w:r w:rsidRPr="00146D21">
        <w:rPr>
          <w:rFonts w:ascii="GHEA Grapalat" w:eastAsia="GHEA Grapalat" w:hAnsi="GHEA Grapalat" w:cs="GHEA Grapalat"/>
          <w:sz w:val="22"/>
          <w:szCs w:val="22"/>
          <w:lang w:val="hy-AM"/>
        </w:rPr>
        <w:t xml:space="preserve">` 4.1 </w:t>
      </w:r>
      <w:r w:rsidRPr="00146D21">
        <w:rPr>
          <w:rFonts w:ascii="GHEA Grapalat" w:eastAsia="GHEA Grapalat" w:hAnsi="GHEA Grapalat" w:cs="Sylfaen"/>
          <w:sz w:val="22"/>
          <w:szCs w:val="22"/>
          <w:lang w:val="hy-AM"/>
        </w:rPr>
        <w:t>տոկոսային</w:t>
      </w:r>
      <w:r w:rsidRPr="00146D21">
        <w:rPr>
          <w:rFonts w:ascii="GHEA Grapalat" w:eastAsia="GHEA Grapalat" w:hAnsi="GHEA Grapalat" w:cs="GHEA Grapalat"/>
          <w:sz w:val="22"/>
          <w:szCs w:val="22"/>
          <w:lang w:val="hy-AM"/>
        </w:rPr>
        <w:t xml:space="preserve"> </w:t>
      </w:r>
      <w:r w:rsidRPr="00146D21">
        <w:rPr>
          <w:rFonts w:ascii="GHEA Grapalat" w:eastAsia="GHEA Grapalat" w:hAnsi="GHEA Grapalat" w:cs="Sylfaen"/>
          <w:sz w:val="22"/>
          <w:szCs w:val="22"/>
          <w:lang w:val="hy-AM"/>
        </w:rPr>
        <w:t xml:space="preserve">կետ)։ </w:t>
      </w:r>
      <w:r w:rsidRPr="00146D21">
        <w:rPr>
          <w:rFonts w:ascii="GHEA Grapalat" w:eastAsia="GHEA Grapalat" w:hAnsi="GHEA Grapalat" w:cs="GHEA Grapalat"/>
          <w:sz w:val="22"/>
          <w:szCs w:val="22"/>
          <w:lang w:val="hy-AM"/>
        </w:rPr>
        <w:t>Միաժամանակ ա</w:t>
      </w:r>
      <w:r w:rsidRPr="00146D21">
        <w:rPr>
          <w:rFonts w:ascii="GHEA Grapalat" w:eastAsia="GHEA Grapalat" w:hAnsi="GHEA Grapalat" w:cs="Sylfaen"/>
          <w:sz w:val="22"/>
          <w:szCs w:val="22"/>
          <w:lang w:val="hy-AM"/>
        </w:rPr>
        <w:t xml:space="preserve">նասնաբուծության նվազումը 2.8 տոկոսային կետով հակազդել է ճյուղի աճին։ </w:t>
      </w:r>
      <w:r w:rsidRPr="00146D21">
        <w:rPr>
          <w:rFonts w:ascii="GHEA Grapalat" w:eastAsia="GHEA Grapalat" w:hAnsi="GHEA Grapalat" w:cs="GHEA Grapalat"/>
          <w:sz w:val="22"/>
          <w:szCs w:val="22"/>
          <w:lang w:val="hy-AM"/>
        </w:rPr>
        <w:t>Անասնաբուծության նվազումն իր հերթին պայմանավորված է եղել կաթի արտադրության և սպանդի համար գյուղատնտեսական կենդանու և թռչնի</w:t>
      </w:r>
      <w:r w:rsidRPr="00146D21" w:rsidDel="004E0F55">
        <w:rPr>
          <w:rFonts w:ascii="GHEA Grapalat" w:eastAsia="GHEA Grapalat" w:hAnsi="GHEA Grapalat" w:cs="GHEA Grapalat"/>
          <w:sz w:val="22"/>
          <w:szCs w:val="22"/>
          <w:lang w:val="hy-AM"/>
        </w:rPr>
        <w:t xml:space="preserve"> </w:t>
      </w:r>
      <w:r w:rsidRPr="00146D21">
        <w:rPr>
          <w:rFonts w:ascii="GHEA Grapalat" w:eastAsia="GHEA Grapalat" w:hAnsi="GHEA Grapalat" w:cs="GHEA Grapalat"/>
          <w:sz w:val="22"/>
          <w:szCs w:val="22"/>
          <w:lang w:val="hy-AM"/>
        </w:rPr>
        <w:t>իրացման</w:t>
      </w:r>
      <w:r w:rsidRPr="00CB396C">
        <w:rPr>
          <w:rFonts w:ascii="GHEA Grapalat" w:eastAsia="GHEA Grapalat" w:hAnsi="GHEA Grapalat" w:cs="GHEA Grapalat"/>
          <w:sz w:val="22"/>
          <w:szCs w:val="22"/>
          <w:lang w:val="de-DE"/>
        </w:rPr>
        <w:t xml:space="preserve"> </w:t>
      </w:r>
      <w:r w:rsidRPr="00146D21">
        <w:rPr>
          <w:rFonts w:ascii="GHEA Grapalat" w:eastAsia="GHEA Grapalat" w:hAnsi="GHEA Grapalat" w:cs="GHEA Grapalat"/>
          <w:sz w:val="22"/>
          <w:szCs w:val="22"/>
          <w:lang w:val="hy-AM"/>
        </w:rPr>
        <w:t xml:space="preserve">նվազմամբ, ինչի պատճառ է հանդիսացել տնային տնտեսությունների անասնագլխաքանակի նվազումը: </w:t>
      </w:r>
    </w:p>
    <w:p w:rsidR="00664493" w:rsidRPr="00146D21" w:rsidRDefault="00664493" w:rsidP="00664493">
      <w:pPr>
        <w:spacing w:line="336" w:lineRule="auto"/>
        <w:ind w:firstLine="567"/>
        <w:jc w:val="both"/>
        <w:rPr>
          <w:rFonts w:ascii="GHEA Grapalat" w:eastAsia="GHEA Grapalat" w:hAnsi="GHEA Grapalat" w:cs="Sylfaen"/>
          <w:sz w:val="22"/>
          <w:szCs w:val="22"/>
          <w:lang w:val="hy-AM"/>
        </w:rPr>
      </w:pPr>
      <w:r w:rsidRPr="00146D21">
        <w:rPr>
          <w:rFonts w:ascii="GHEA Grapalat" w:eastAsia="GHEA Grapalat" w:hAnsi="GHEA Grapalat" w:cs="GHEA Grapalat"/>
          <w:b/>
          <w:i/>
          <w:iCs/>
          <w:sz w:val="22"/>
          <w:szCs w:val="22"/>
          <w:lang w:val="hy-AM"/>
        </w:rPr>
        <w:t>Շինարարություն։</w:t>
      </w:r>
      <w:r w:rsidRPr="00146D21">
        <w:rPr>
          <w:rFonts w:ascii="GHEA Grapalat" w:eastAsia="GHEA Grapalat" w:hAnsi="GHEA Grapalat" w:cs="GHEA Grapalat"/>
          <w:sz w:val="22"/>
          <w:szCs w:val="22"/>
          <w:lang w:val="hy-AM"/>
        </w:rPr>
        <w:t xml:space="preserve"> Շինարարության ճյուղում գրանցված 15.6% աճը պայմանավորված է եղել հիմնականում կազմակերպությունների և բնակչության միջոցներով</w:t>
      </w:r>
      <w:r w:rsidRPr="00146D21" w:rsidDel="000521F3">
        <w:rPr>
          <w:rFonts w:ascii="GHEA Grapalat" w:eastAsia="GHEA Grapalat" w:hAnsi="GHEA Grapalat" w:cs="GHEA Grapalat"/>
          <w:sz w:val="22"/>
          <w:szCs w:val="22"/>
          <w:lang w:val="hy-AM"/>
        </w:rPr>
        <w:t xml:space="preserve"> </w:t>
      </w:r>
      <w:r w:rsidRPr="00146D21">
        <w:rPr>
          <w:rFonts w:ascii="GHEA Grapalat" w:eastAsia="GHEA Grapalat" w:hAnsi="GHEA Grapalat" w:cs="GHEA Grapalat"/>
          <w:sz w:val="22"/>
          <w:szCs w:val="22"/>
          <w:lang w:val="hy-AM"/>
        </w:rPr>
        <w:t xml:space="preserve">իրականացված շինարարության ծավալների աճերով (նպաստումները` </w:t>
      </w:r>
      <w:r w:rsidR="00C96B47" w:rsidRPr="00146D21">
        <w:rPr>
          <w:rFonts w:ascii="GHEA Grapalat" w:eastAsia="GHEA Grapalat" w:hAnsi="GHEA Grapalat" w:cs="GHEA Grapalat"/>
          <w:sz w:val="22"/>
          <w:szCs w:val="22"/>
          <w:lang w:val="hy-AM"/>
        </w:rPr>
        <w:t>համապատասխանաբար</w:t>
      </w:r>
      <w:r w:rsidRPr="00146D21">
        <w:rPr>
          <w:rFonts w:ascii="GHEA Grapalat" w:eastAsia="GHEA Grapalat" w:hAnsi="GHEA Grapalat" w:cs="GHEA Grapalat"/>
          <w:sz w:val="22"/>
          <w:szCs w:val="22"/>
          <w:lang w:val="hy-AM"/>
        </w:rPr>
        <w:t xml:space="preserve"> 16.2 և 5.6 տոկոսային կետեր)։ Կազմակերպությունների միջոցներով իրականացված շինարարության ծավալների աճը պայմանավորվել է ներքին ներդրողների միջոցներով ֆինանսավորվող շինարարության աճով։ Վերջինս և բնակչության միջոցներով ֆինանսավորվող շինարարության աճն իրենց հերթին վկայում են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793C13" w:rsidRPr="00146D21">
        <w:rPr>
          <w:rFonts w:ascii="GHEA Grapalat" w:eastAsia="GHEA Grapalat" w:hAnsi="GHEA Grapalat" w:cs="GHEA Grapalat"/>
          <w:sz w:val="22"/>
          <w:szCs w:val="22"/>
          <w:lang w:val="hy-AM"/>
        </w:rPr>
        <w:t>հիպոտեկ</w:t>
      </w:r>
      <w:r w:rsidRPr="00146D21">
        <w:rPr>
          <w:rFonts w:ascii="GHEA Grapalat" w:eastAsia="GHEA Grapalat" w:hAnsi="GHEA Grapalat" w:cs="GHEA Grapalat"/>
          <w:sz w:val="22"/>
          <w:szCs w:val="22"/>
          <w:lang w:val="hy-AM"/>
        </w:rPr>
        <w:t>ային վարկերի տոկոսավճարների</w:t>
      </w:r>
      <w:r w:rsidR="00143B7A" w:rsidRPr="00CB396C">
        <w:rPr>
          <w:rFonts w:ascii="GHEA Grapalat" w:eastAsia="GHEA Grapalat" w:hAnsi="GHEA Grapalat" w:cs="GHEA Grapalat"/>
          <w:sz w:val="22"/>
          <w:szCs w:val="22"/>
          <w:lang w:val="hy-AM"/>
        </w:rPr>
        <w:t>՝</w:t>
      </w:r>
      <w:r w:rsidRPr="00146D21">
        <w:rPr>
          <w:rFonts w:ascii="GHEA Grapalat" w:eastAsia="GHEA Grapalat" w:hAnsi="GHEA Grapalat" w:cs="GHEA Grapalat"/>
          <w:sz w:val="22"/>
          <w:szCs w:val="22"/>
          <w:lang w:val="hy-AM"/>
        </w:rPr>
        <w:t xml:space="preserve"> եկամտահարկից վերադարձման պետական աջակցության ծրագիրը</w:t>
      </w:r>
      <w:r w:rsidRPr="00146D21">
        <w:rPr>
          <w:rFonts w:ascii="GHEA Grapalat" w:eastAsia="GHEA Grapalat" w:hAnsi="GHEA Grapalat" w:cs="Sylfaen"/>
          <w:sz w:val="22"/>
          <w:szCs w:val="22"/>
          <w:lang w:val="hy-AM"/>
        </w:rPr>
        <w:t>, ինչպես նաև օտարերկրյա քաղաքացիների մեծ ներհոսքի պայմաններում բնակարանային շուկայում առաջացած պահանջարկը)։ Մինչդեռ պետական բյուջեի միջոցներով ֆինանսավորվող շինարարության նվազումը հակազդել է շինարարության ընդհանուր աճին (8</w:t>
      </w:r>
      <w:r w:rsidRPr="00146D21">
        <w:rPr>
          <w:rFonts w:ascii="Cambria Math" w:eastAsia="GHEA Grapalat" w:hAnsi="Cambria Math" w:cs="Cambria Math"/>
          <w:sz w:val="22"/>
          <w:szCs w:val="22"/>
          <w:lang w:val="hy-AM"/>
        </w:rPr>
        <w:t>․</w:t>
      </w:r>
      <w:r w:rsidRPr="00146D21">
        <w:rPr>
          <w:rFonts w:ascii="GHEA Grapalat" w:eastAsia="GHEA Grapalat" w:hAnsi="GHEA Grapalat" w:cs="Sylfaen"/>
          <w:sz w:val="22"/>
          <w:szCs w:val="22"/>
          <w:lang w:val="hy-AM"/>
        </w:rPr>
        <w:t>3 տոկոսային</w:t>
      </w:r>
      <w:bookmarkStart w:id="20" w:name="_Hlk110694542"/>
      <w:r w:rsidRPr="00146D21">
        <w:rPr>
          <w:rFonts w:ascii="GHEA Grapalat" w:eastAsia="GHEA Grapalat" w:hAnsi="GHEA Grapalat" w:cs="Sylfaen"/>
          <w:sz w:val="22"/>
          <w:szCs w:val="22"/>
          <w:lang w:val="hy-AM"/>
        </w:rPr>
        <w:t xml:space="preserve"> կետ</w:t>
      </w:r>
      <w:bookmarkEnd w:id="20"/>
      <w:r w:rsidRPr="00146D21">
        <w:rPr>
          <w:rFonts w:ascii="GHEA Grapalat" w:eastAsia="GHEA Grapalat" w:hAnsi="GHEA Grapalat" w:cs="Sylfaen"/>
          <w:sz w:val="22"/>
          <w:szCs w:val="22"/>
          <w:lang w:val="hy-AM"/>
        </w:rPr>
        <w:t>)՝ պայմանավորված ինչպես միջազգային վարկերով, այնպես էլ զուտ պետական բյուջեի միջոցներով ֆինանսավորվող շինարարության ծավալների նվազ</w:t>
      </w:r>
      <w:r w:rsidR="00143B7A" w:rsidRPr="00CB396C">
        <w:rPr>
          <w:rFonts w:ascii="GHEA Grapalat" w:eastAsia="GHEA Grapalat" w:hAnsi="GHEA Grapalat" w:cs="Sylfaen"/>
          <w:sz w:val="22"/>
          <w:szCs w:val="22"/>
          <w:lang w:val="hy-AM"/>
        </w:rPr>
        <w:t>մամբ</w:t>
      </w:r>
      <w:r w:rsidRPr="00146D21">
        <w:rPr>
          <w:rFonts w:ascii="GHEA Grapalat" w:eastAsia="GHEA Grapalat" w:hAnsi="GHEA Grapalat" w:cs="Sylfaen"/>
          <w:sz w:val="22"/>
          <w:szCs w:val="22"/>
          <w:lang w:val="hy-AM"/>
        </w:rPr>
        <w:t>։</w:t>
      </w:r>
    </w:p>
    <w:p w:rsidR="00664493" w:rsidRPr="00146D21" w:rsidRDefault="00664493" w:rsidP="00664493">
      <w:pPr>
        <w:spacing w:line="336" w:lineRule="auto"/>
        <w:ind w:firstLine="547"/>
        <w:jc w:val="both"/>
        <w:rPr>
          <w:rFonts w:ascii="GHEA Grapalat" w:eastAsia="GHEA Grapalat" w:hAnsi="GHEA Grapalat" w:cs="GHEA Grapalat"/>
          <w:sz w:val="22"/>
          <w:szCs w:val="22"/>
          <w:lang w:val="hy-AM"/>
        </w:rPr>
      </w:pPr>
      <w:r w:rsidRPr="00146D21">
        <w:rPr>
          <w:rFonts w:ascii="GHEA Grapalat" w:eastAsia="GHEA Grapalat" w:hAnsi="GHEA Grapalat" w:cs="GHEA Grapalat"/>
          <w:sz w:val="22"/>
          <w:szCs w:val="22"/>
          <w:lang w:val="hy-AM"/>
        </w:rPr>
        <w:t>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ոլորտում շինարարության ծավալների աճը: Մինչդեռ էլեկտրականության, գազի, գոլորշու և լավորակ օդի մատակարարում, ինչպես նաև գյուղատնտեսություն, անտառային տնտեսություն և ձկնորսություն ենթաճյուղերում իրականացված շինարարության ծավալների նվազումներ</w:t>
      </w:r>
      <w:r w:rsidR="00143B7A" w:rsidRPr="00CB396C">
        <w:rPr>
          <w:rFonts w:ascii="GHEA Grapalat" w:eastAsia="GHEA Grapalat" w:hAnsi="GHEA Grapalat" w:cs="GHEA Grapalat"/>
          <w:sz w:val="22"/>
          <w:szCs w:val="22"/>
          <w:lang w:val="hy-AM"/>
        </w:rPr>
        <w:t>ն</w:t>
      </w:r>
      <w:r w:rsidRPr="00146D21">
        <w:rPr>
          <w:rFonts w:ascii="GHEA Grapalat" w:eastAsia="GHEA Grapalat" w:hAnsi="GHEA Grapalat" w:cs="GHEA Grapalat"/>
          <w:sz w:val="22"/>
          <w:szCs w:val="22"/>
          <w:lang w:val="hy-AM"/>
        </w:rPr>
        <w:t xml:space="preserve"> էականորեն հակազդել են ընդհանուր շինարարության աճին։ </w:t>
      </w:r>
    </w:p>
    <w:p w:rsidR="00664493" w:rsidRPr="00146D21" w:rsidRDefault="00664493" w:rsidP="00664493">
      <w:pPr>
        <w:spacing w:line="336" w:lineRule="auto"/>
        <w:ind w:firstLine="547"/>
        <w:jc w:val="both"/>
        <w:rPr>
          <w:rFonts w:ascii="GHEA Grapalat" w:eastAsia="GHEA Grapalat" w:hAnsi="GHEA Grapalat" w:cs="GHEA Grapalat"/>
          <w:sz w:val="22"/>
          <w:szCs w:val="22"/>
          <w:lang w:val="hy-AM"/>
        </w:rPr>
      </w:pPr>
      <w:r w:rsidRPr="00146D21">
        <w:rPr>
          <w:rFonts w:ascii="GHEA Grapalat" w:eastAsia="GHEA Grapalat" w:hAnsi="GHEA Grapalat" w:cs="GHEA Grapalat"/>
          <w:b/>
          <w:i/>
          <w:iCs/>
          <w:sz w:val="22"/>
          <w:szCs w:val="22"/>
          <w:lang w:val="hy-AM"/>
        </w:rPr>
        <w:t>Ծառայություններ և առևտուր։</w:t>
      </w:r>
      <w:r w:rsidRPr="00146D21">
        <w:rPr>
          <w:rFonts w:ascii="GHEA Grapalat" w:eastAsia="GHEA Grapalat" w:hAnsi="GHEA Grapalat" w:cs="GHEA Grapalat"/>
          <w:b/>
          <w:sz w:val="22"/>
          <w:szCs w:val="22"/>
          <w:lang w:val="hy-AM"/>
        </w:rPr>
        <w:t xml:space="preserve"> </w:t>
      </w:r>
      <w:r w:rsidRPr="00146D21">
        <w:rPr>
          <w:rFonts w:ascii="GHEA Grapalat" w:eastAsia="GHEA Grapalat" w:hAnsi="GHEA Grapalat" w:cs="GHEA Grapalat"/>
          <w:bCs/>
          <w:sz w:val="22"/>
          <w:szCs w:val="22"/>
          <w:lang w:val="hy-AM"/>
        </w:rPr>
        <w:t>Ծառայություններն աճել են 22.9%-ով՝</w:t>
      </w:r>
      <w:r w:rsidRPr="00146D21">
        <w:rPr>
          <w:rFonts w:ascii="GHEA Grapalat" w:eastAsia="GHEA Grapalat" w:hAnsi="GHEA Grapalat" w:cs="GHEA Grapalat"/>
          <w:b/>
          <w:sz w:val="22"/>
          <w:szCs w:val="22"/>
          <w:lang w:val="hy-AM"/>
        </w:rPr>
        <w:t xml:space="preserve"> </w:t>
      </w:r>
      <w:r w:rsidRPr="00146D21">
        <w:rPr>
          <w:rFonts w:ascii="GHEA Grapalat" w:eastAsia="GHEA Grapalat" w:hAnsi="GHEA Grapalat" w:cs="GHEA Grapalat"/>
          <w:sz w:val="22"/>
          <w:szCs w:val="22"/>
          <w:lang w:val="hy-AM"/>
        </w:rPr>
        <w:t>հիմնականում պայմանավորված տեղեկատվություն և կապ (</w:t>
      </w:r>
      <w:r w:rsidRPr="00146D21">
        <w:rPr>
          <w:rFonts w:ascii="GHEA Grapalat" w:eastAsia="GHEA Grapalat" w:hAnsi="GHEA Grapalat" w:cs="Sylfaen"/>
          <w:sz w:val="22"/>
          <w:szCs w:val="22"/>
          <w:lang w:val="hy-AM"/>
        </w:rPr>
        <w:t>նպաստումը</w:t>
      </w:r>
      <w:r w:rsidRPr="00146D21">
        <w:rPr>
          <w:rFonts w:ascii="GHEA Grapalat" w:eastAsia="GHEA Grapalat" w:hAnsi="GHEA Grapalat" w:cs="GHEA Grapalat"/>
          <w:sz w:val="22"/>
          <w:szCs w:val="22"/>
          <w:lang w:val="hy-AM"/>
        </w:rPr>
        <w:t xml:space="preserve">` 10.0 </w:t>
      </w:r>
      <w:r w:rsidRPr="00146D21">
        <w:rPr>
          <w:rFonts w:ascii="GHEA Grapalat" w:eastAsia="GHEA Grapalat" w:hAnsi="GHEA Grapalat" w:cs="Sylfaen"/>
          <w:sz w:val="22"/>
          <w:szCs w:val="22"/>
          <w:lang w:val="hy-AM"/>
        </w:rPr>
        <w:t>տոկոսային</w:t>
      </w:r>
      <w:r w:rsidRPr="00146D21">
        <w:rPr>
          <w:rFonts w:ascii="GHEA Grapalat" w:eastAsia="GHEA Grapalat" w:hAnsi="GHEA Grapalat" w:cs="GHEA Grapalat"/>
          <w:sz w:val="22"/>
          <w:szCs w:val="22"/>
          <w:lang w:val="hy-AM"/>
        </w:rPr>
        <w:t xml:space="preserve"> </w:t>
      </w:r>
      <w:r w:rsidRPr="00146D21">
        <w:rPr>
          <w:rFonts w:ascii="GHEA Grapalat" w:eastAsia="GHEA Grapalat" w:hAnsi="GHEA Grapalat" w:cs="Sylfaen"/>
          <w:sz w:val="22"/>
          <w:szCs w:val="22"/>
          <w:lang w:val="hy-AM"/>
        </w:rPr>
        <w:t xml:space="preserve">կետ), </w:t>
      </w:r>
      <w:r w:rsidRPr="00146D21">
        <w:rPr>
          <w:rFonts w:ascii="GHEA Grapalat" w:eastAsia="GHEA Grapalat" w:hAnsi="GHEA Grapalat" w:cs="GHEA Grapalat"/>
          <w:sz w:val="22"/>
          <w:szCs w:val="22"/>
          <w:lang w:val="hy-AM"/>
        </w:rPr>
        <w:t>ֆինանսական և ապահովագրական գործունեություն (</w:t>
      </w:r>
      <w:r w:rsidRPr="00146D21">
        <w:rPr>
          <w:rFonts w:ascii="GHEA Grapalat" w:eastAsia="GHEA Grapalat" w:hAnsi="GHEA Grapalat" w:cs="Sylfaen"/>
          <w:sz w:val="22"/>
          <w:szCs w:val="22"/>
          <w:lang w:val="hy-AM"/>
        </w:rPr>
        <w:t>նպաստումը</w:t>
      </w:r>
      <w:r w:rsidRPr="00146D21">
        <w:rPr>
          <w:rFonts w:ascii="GHEA Grapalat" w:eastAsia="GHEA Grapalat" w:hAnsi="GHEA Grapalat" w:cs="GHEA Grapalat"/>
          <w:sz w:val="22"/>
          <w:szCs w:val="22"/>
          <w:lang w:val="hy-AM"/>
        </w:rPr>
        <w:t xml:space="preserve">` 5.0 </w:t>
      </w:r>
      <w:r w:rsidRPr="00146D21">
        <w:rPr>
          <w:rFonts w:ascii="GHEA Grapalat" w:eastAsia="GHEA Grapalat" w:hAnsi="GHEA Grapalat" w:cs="Sylfaen"/>
          <w:sz w:val="22"/>
          <w:szCs w:val="22"/>
          <w:lang w:val="hy-AM"/>
        </w:rPr>
        <w:t>տոկոսային</w:t>
      </w:r>
      <w:r w:rsidRPr="00146D21">
        <w:rPr>
          <w:rFonts w:ascii="GHEA Grapalat" w:eastAsia="GHEA Grapalat" w:hAnsi="GHEA Grapalat" w:cs="GHEA Grapalat"/>
          <w:sz w:val="22"/>
          <w:szCs w:val="22"/>
          <w:lang w:val="hy-AM"/>
        </w:rPr>
        <w:t xml:space="preserve"> </w:t>
      </w:r>
      <w:r w:rsidRPr="00146D21">
        <w:rPr>
          <w:rFonts w:ascii="GHEA Grapalat" w:eastAsia="GHEA Grapalat" w:hAnsi="GHEA Grapalat" w:cs="Sylfaen"/>
          <w:sz w:val="22"/>
          <w:szCs w:val="22"/>
          <w:lang w:val="hy-AM"/>
        </w:rPr>
        <w:t>կետ)</w:t>
      </w:r>
      <w:r w:rsidRPr="00146D21">
        <w:rPr>
          <w:rFonts w:ascii="GHEA Grapalat" w:eastAsia="GHEA Grapalat" w:hAnsi="GHEA Grapalat" w:cs="GHEA Grapalat"/>
          <w:sz w:val="22"/>
          <w:szCs w:val="22"/>
          <w:lang w:val="hy-AM"/>
        </w:rPr>
        <w:t>, տրանսպորտ (</w:t>
      </w:r>
      <w:r w:rsidRPr="00146D21">
        <w:rPr>
          <w:rFonts w:ascii="GHEA Grapalat" w:eastAsia="GHEA Grapalat" w:hAnsi="GHEA Grapalat" w:cs="Sylfaen"/>
          <w:sz w:val="22"/>
          <w:szCs w:val="22"/>
          <w:lang w:val="hy-AM"/>
        </w:rPr>
        <w:t>նպաստումը</w:t>
      </w:r>
      <w:r w:rsidRPr="00146D21">
        <w:rPr>
          <w:rFonts w:ascii="GHEA Grapalat" w:eastAsia="GHEA Grapalat" w:hAnsi="GHEA Grapalat" w:cs="GHEA Grapalat"/>
          <w:sz w:val="22"/>
          <w:szCs w:val="22"/>
          <w:lang w:val="hy-AM"/>
        </w:rPr>
        <w:t xml:space="preserve">` </w:t>
      </w:r>
      <w:r w:rsidRPr="00146D21">
        <w:rPr>
          <w:rFonts w:ascii="GHEA Grapalat" w:eastAsia="GHEA Grapalat" w:hAnsi="GHEA Grapalat" w:cs="GHEA Grapalat"/>
          <w:sz w:val="22"/>
          <w:szCs w:val="22"/>
          <w:lang w:val="hy-AM"/>
        </w:rPr>
        <w:lastRenderedPageBreak/>
        <w:t xml:space="preserve">4.0 </w:t>
      </w:r>
      <w:r w:rsidRPr="00146D21">
        <w:rPr>
          <w:rFonts w:ascii="GHEA Grapalat" w:eastAsia="GHEA Grapalat" w:hAnsi="GHEA Grapalat" w:cs="Sylfaen"/>
          <w:sz w:val="22"/>
          <w:szCs w:val="22"/>
          <w:lang w:val="hy-AM"/>
        </w:rPr>
        <w:t>տոկոսային</w:t>
      </w:r>
      <w:r w:rsidRPr="00146D21">
        <w:rPr>
          <w:rFonts w:ascii="GHEA Grapalat" w:eastAsia="GHEA Grapalat" w:hAnsi="GHEA Grapalat" w:cs="GHEA Grapalat"/>
          <w:sz w:val="22"/>
          <w:szCs w:val="22"/>
          <w:lang w:val="hy-AM"/>
        </w:rPr>
        <w:t xml:space="preserve"> </w:t>
      </w:r>
      <w:r w:rsidRPr="00146D21">
        <w:rPr>
          <w:rFonts w:ascii="GHEA Grapalat" w:eastAsia="GHEA Grapalat" w:hAnsi="GHEA Grapalat" w:cs="Sylfaen"/>
          <w:sz w:val="22"/>
          <w:szCs w:val="22"/>
          <w:lang w:val="hy-AM"/>
        </w:rPr>
        <w:t xml:space="preserve">կետ), </w:t>
      </w:r>
      <w:r w:rsidRPr="00146D21">
        <w:rPr>
          <w:rFonts w:ascii="GHEA Grapalat" w:eastAsia="GHEA Grapalat" w:hAnsi="GHEA Grapalat" w:cs="GHEA Grapalat"/>
          <w:sz w:val="22"/>
          <w:szCs w:val="22"/>
          <w:lang w:val="hy-AM"/>
        </w:rPr>
        <w:t>ինչպես նաև կացության և հանրային սննդի կազմակերպում (</w:t>
      </w:r>
      <w:r w:rsidRPr="00146D21">
        <w:rPr>
          <w:rFonts w:ascii="GHEA Grapalat" w:eastAsia="GHEA Grapalat" w:hAnsi="GHEA Grapalat" w:cs="Sylfaen"/>
          <w:sz w:val="22"/>
          <w:szCs w:val="22"/>
          <w:lang w:val="hy-AM"/>
        </w:rPr>
        <w:t>նպաստումը</w:t>
      </w:r>
      <w:r w:rsidRPr="00146D21">
        <w:rPr>
          <w:rFonts w:ascii="GHEA Grapalat" w:eastAsia="GHEA Grapalat" w:hAnsi="GHEA Grapalat" w:cs="GHEA Grapalat"/>
          <w:sz w:val="22"/>
          <w:szCs w:val="22"/>
          <w:lang w:val="hy-AM"/>
        </w:rPr>
        <w:t xml:space="preserve">` 2.3 </w:t>
      </w:r>
      <w:r w:rsidRPr="00146D21">
        <w:rPr>
          <w:rFonts w:ascii="GHEA Grapalat" w:eastAsia="GHEA Grapalat" w:hAnsi="GHEA Grapalat" w:cs="Sylfaen"/>
          <w:sz w:val="22"/>
          <w:szCs w:val="22"/>
          <w:lang w:val="hy-AM"/>
        </w:rPr>
        <w:t>տոկոսային</w:t>
      </w:r>
      <w:r w:rsidRPr="00146D21">
        <w:rPr>
          <w:rFonts w:ascii="GHEA Grapalat" w:eastAsia="GHEA Grapalat" w:hAnsi="GHEA Grapalat" w:cs="GHEA Grapalat"/>
          <w:sz w:val="22"/>
          <w:szCs w:val="22"/>
          <w:lang w:val="hy-AM"/>
        </w:rPr>
        <w:t xml:space="preserve"> </w:t>
      </w:r>
      <w:r w:rsidRPr="00146D21">
        <w:rPr>
          <w:rFonts w:ascii="GHEA Grapalat" w:eastAsia="GHEA Grapalat" w:hAnsi="GHEA Grapalat" w:cs="Sylfaen"/>
          <w:sz w:val="22"/>
          <w:szCs w:val="22"/>
          <w:lang w:val="hy-AM"/>
        </w:rPr>
        <w:t>կետ)</w:t>
      </w:r>
      <w:r w:rsidRPr="00146D21">
        <w:rPr>
          <w:rFonts w:ascii="GHEA Grapalat" w:eastAsia="GHEA Grapalat" w:hAnsi="GHEA Grapalat" w:cs="GHEA Grapalat"/>
          <w:sz w:val="22"/>
          <w:szCs w:val="22"/>
          <w:lang w:val="hy-AM"/>
        </w:rPr>
        <w:t xml:space="preserve"> ենթաճյուղերի աճերով: Ֆինանսական և ապահովագրական գործունեություն ենթաճյուղի դրական զարգացումները զուգորդվել են բանկային համակարգում 2023</w:t>
      </w:r>
      <w:r w:rsidR="00143B7A" w:rsidRPr="00CB396C">
        <w:rPr>
          <w:rFonts w:ascii="GHEA Grapalat" w:eastAsia="GHEA Grapalat" w:hAnsi="GHEA Grapalat" w:cs="GHEA Grapalat"/>
          <w:sz w:val="22"/>
          <w:szCs w:val="22"/>
          <w:lang w:val="hy-AM"/>
        </w:rPr>
        <w:t xml:space="preserve"> </w:t>
      </w:r>
      <w:r w:rsidRPr="00146D21">
        <w:rPr>
          <w:rFonts w:ascii="GHEA Grapalat" w:eastAsia="GHEA Grapalat" w:hAnsi="GHEA Grapalat" w:cs="GHEA Grapalat"/>
          <w:sz w:val="22"/>
          <w:szCs w:val="22"/>
          <w:lang w:val="hy-AM"/>
        </w:rPr>
        <w:t>թ</w:t>
      </w:r>
      <w:r w:rsidR="00143B7A" w:rsidRPr="00CB396C">
        <w:rPr>
          <w:rFonts w:ascii="GHEA Grapalat" w:eastAsia="GHEA Grapalat" w:hAnsi="GHEA Grapalat" w:cs="GHEA Grapalat"/>
          <w:sz w:val="22"/>
          <w:szCs w:val="22"/>
          <w:lang w:val="hy-AM"/>
        </w:rPr>
        <w:t>վականի</w:t>
      </w:r>
      <w:r w:rsidRPr="00146D21">
        <w:rPr>
          <w:rFonts w:ascii="GHEA Grapalat" w:eastAsia="GHEA Grapalat" w:hAnsi="GHEA Grapalat" w:cs="GHEA Grapalat"/>
          <w:sz w:val="22"/>
          <w:szCs w:val="22"/>
          <w:lang w:val="hy-AM"/>
        </w:rPr>
        <w:t xml:space="preserve"> առաջին եռամսյակում շահութաբերության աննախադեպ բարձր ցուցանիշներով, ինչին նպաստել են արտարժույթային գործառնություններից լրացուցիչ եկամուտները (այդ թվում՝ միջնորդավճարներից գոյացած հասույթը), ինչպես նաև ոչ ռեզիդենտների կողմից նոր բանկային հաշիվների ստեղծումը:</w:t>
      </w:r>
    </w:p>
    <w:p w:rsidR="00664493" w:rsidRPr="00146D21" w:rsidRDefault="00664493" w:rsidP="00664493">
      <w:pPr>
        <w:spacing w:line="336" w:lineRule="auto"/>
        <w:ind w:firstLine="547"/>
        <w:jc w:val="both"/>
        <w:rPr>
          <w:rFonts w:ascii="GHEA Grapalat" w:eastAsia="GHEA Grapalat" w:hAnsi="GHEA Grapalat" w:cs="GHEA Grapalat"/>
          <w:sz w:val="22"/>
          <w:szCs w:val="22"/>
          <w:lang w:val="hy-AM"/>
        </w:rPr>
      </w:pPr>
      <w:r w:rsidRPr="00146D21">
        <w:rPr>
          <w:rFonts w:ascii="GHEA Grapalat" w:eastAsia="GHEA Grapalat" w:hAnsi="GHEA Grapalat" w:cs="GHEA Grapalat"/>
          <w:sz w:val="22"/>
          <w:szCs w:val="22"/>
          <w:lang w:val="hy-AM"/>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C96B47" w:rsidRPr="00146D21">
        <w:rPr>
          <w:rFonts w:ascii="GHEA Grapalat" w:eastAsia="GHEA Grapalat" w:hAnsi="GHEA Grapalat" w:cs="GHEA Grapalat"/>
          <w:sz w:val="22"/>
          <w:szCs w:val="22"/>
          <w:lang w:val="hy-AM"/>
        </w:rPr>
        <w:t>`</w:t>
      </w:r>
      <w:r w:rsidRPr="00146D21">
        <w:rPr>
          <w:rFonts w:ascii="GHEA Grapalat" w:eastAsia="GHEA Grapalat" w:hAnsi="GHEA Grapalat" w:cs="GHEA Grapalat"/>
          <w:sz w:val="22"/>
          <w:szCs w:val="22"/>
          <w:lang w:val="hy-AM"/>
        </w:rPr>
        <w:t xml:space="preserve"> ՀՀ տեղափոխմամբ, ինչպես նաև դեպի Հայաստան միջազգային զբոսաշրջության բարձր աճի տեմպերով: </w:t>
      </w:r>
    </w:p>
    <w:p w:rsidR="00664493" w:rsidRPr="00146D21" w:rsidRDefault="00664493" w:rsidP="00664493">
      <w:pPr>
        <w:spacing w:line="336" w:lineRule="auto"/>
        <w:ind w:firstLine="547"/>
        <w:jc w:val="both"/>
        <w:rPr>
          <w:rFonts w:ascii="GHEA Grapalat" w:eastAsia="GHEA Grapalat" w:hAnsi="GHEA Grapalat" w:cs="GHEA Grapalat"/>
          <w:sz w:val="22"/>
          <w:szCs w:val="22"/>
          <w:lang w:val="hy-AM"/>
        </w:rPr>
      </w:pPr>
      <w:r w:rsidRPr="00146D21">
        <w:rPr>
          <w:rFonts w:ascii="GHEA Grapalat" w:eastAsia="GHEA Grapalat" w:hAnsi="GHEA Grapalat" w:cs="GHEA Grapalat"/>
          <w:sz w:val="22"/>
          <w:szCs w:val="22"/>
          <w:lang w:val="hy-AM"/>
        </w:rPr>
        <w:t>Առևտրի 21.0% աճը հիմնականում պայմանավորված է եղել մեծածախ առևտրի աճով (նպաստումը՝ 18.7 տոկոսային կետ)։ Մեծածախ առևտրի բարձր աճը պայմանավորված է տնտեսության մյուս հատվածներում առկա բարձր պահանջարկով, ինչպես նաև ազգային արժույթի արժեզրկման սպասումների հետևանքով տնտես</w:t>
      </w:r>
      <w:r w:rsidR="00C96B47" w:rsidRPr="00146D21">
        <w:rPr>
          <w:rFonts w:ascii="GHEA Grapalat" w:eastAsia="GHEA Grapalat" w:hAnsi="GHEA Grapalat" w:cs="GHEA Grapalat"/>
          <w:sz w:val="22"/>
          <w:szCs w:val="22"/>
          <w:lang w:val="hy-AM"/>
        </w:rPr>
        <w:t>ա</w:t>
      </w:r>
      <w:r w:rsidRPr="00146D21">
        <w:rPr>
          <w:rFonts w:ascii="GHEA Grapalat" w:eastAsia="GHEA Grapalat" w:hAnsi="GHEA Grapalat" w:cs="GHEA Grapalat"/>
          <w:sz w:val="22"/>
          <w:szCs w:val="22"/>
          <w:lang w:val="hy-AM"/>
        </w:rPr>
        <w:t xml:space="preserve">վարողների կողմից ներմուծված ապրանքների պաշարների կուտակմամբ: </w:t>
      </w:r>
      <w:r w:rsidRPr="00146D21">
        <w:rPr>
          <w:rFonts w:ascii="GHEA Grapalat" w:hAnsi="GHEA Grapalat" w:cs="GHEA Grapalat"/>
          <w:sz w:val="22"/>
          <w:szCs w:val="22"/>
          <w:lang w:val="hy-AM"/>
        </w:rPr>
        <w:t>Ա</w:t>
      </w:r>
      <w:r w:rsidRPr="00146D21">
        <w:rPr>
          <w:rFonts w:ascii="GHEA Grapalat" w:eastAsia="GHEA Grapalat" w:hAnsi="GHEA Grapalat" w:cs="GHEA Grapalat"/>
          <w:sz w:val="22"/>
          <w:szCs w:val="22"/>
          <w:lang w:val="hy-AM"/>
        </w:rPr>
        <w:t xml:space="preserve">ռևտրի և ծառայությունների </w:t>
      </w:r>
      <w:r w:rsidRPr="00146D21">
        <w:rPr>
          <w:rFonts w:ascii="GHEA Grapalat" w:hAnsi="GHEA Grapalat" w:cs="GHEA Grapalat"/>
          <w:sz w:val="22"/>
          <w:szCs w:val="22"/>
          <w:lang w:val="hy-AM"/>
        </w:rPr>
        <w:t>աճն ուղեկցվել է ներքին (մասնավորապես՝ մասնավոր սպառման) և արտաքին (մասնավորապես՝ ծառայությունների արտահանման) պահանջարկի</w:t>
      </w:r>
      <w:r w:rsidR="006E27DC" w:rsidRPr="00146D21">
        <w:rPr>
          <w:rFonts w:ascii="GHEA Grapalat" w:hAnsi="GHEA Grapalat" w:cs="GHEA Grapalat"/>
          <w:sz w:val="22"/>
          <w:szCs w:val="22"/>
          <w:lang w:val="hy-AM"/>
        </w:rPr>
        <w:t xml:space="preserve"> </w:t>
      </w:r>
      <w:r w:rsidRPr="00146D21">
        <w:rPr>
          <w:rFonts w:ascii="GHEA Grapalat" w:hAnsi="GHEA Grapalat" w:cs="GHEA Grapalat"/>
          <w:sz w:val="22"/>
          <w:szCs w:val="22"/>
          <w:lang w:val="hy-AM"/>
        </w:rPr>
        <w:t xml:space="preserve">աճերով: </w:t>
      </w:r>
    </w:p>
    <w:p w:rsidR="00664493" w:rsidRPr="00146D21" w:rsidRDefault="00664493" w:rsidP="00664493">
      <w:pPr>
        <w:spacing w:line="360" w:lineRule="auto"/>
        <w:ind w:firstLine="567"/>
        <w:jc w:val="both"/>
        <w:rPr>
          <w:rFonts w:ascii="GHEA Grapalat" w:eastAsia="GHEA Grapalat" w:hAnsi="GHEA Grapalat" w:cs="GHEA Grapalat"/>
          <w:sz w:val="22"/>
          <w:szCs w:val="22"/>
          <w:lang w:val="hy-AM"/>
        </w:rPr>
      </w:pPr>
      <w:r w:rsidRPr="00146D21">
        <w:rPr>
          <w:rFonts w:ascii="GHEA Grapalat" w:eastAsia="GHEA Grapalat" w:hAnsi="GHEA Grapalat" w:cs="GHEA Grapalat"/>
          <w:bCs/>
          <w:sz w:val="22"/>
          <w:szCs w:val="22"/>
          <w:lang w:val="hy-AM"/>
        </w:rPr>
        <w:t>Հաշվետու ժամանակահատվածում բեռնափոխադրումների և ուղևորափոխադրումների ծավալներն աճել են:</w:t>
      </w:r>
      <w:r w:rsidRPr="00146D21">
        <w:rPr>
          <w:rFonts w:ascii="GHEA Grapalat" w:eastAsia="GHEA Grapalat" w:hAnsi="GHEA Grapalat" w:cs="GHEA Grapalat"/>
          <w:sz w:val="22"/>
          <w:szCs w:val="22"/>
          <w:lang w:val="hy-AM"/>
        </w:rPr>
        <w:t xml:space="preserve"> Բեռնափոխադրումների ծավալի 9.6% աճը հիմնականում պայմանավորված է եղել ավտոմոբիլային բեռնափոխադրումների աճով (նպաստումը՝ 7</w:t>
      </w:r>
      <w:r w:rsidRPr="00146D21">
        <w:rPr>
          <w:rFonts w:ascii="Cambria Math" w:eastAsia="GHEA Grapalat" w:hAnsi="Cambria Math" w:cs="Cambria Math"/>
          <w:sz w:val="22"/>
          <w:szCs w:val="22"/>
          <w:lang w:val="hy-AM"/>
        </w:rPr>
        <w:t>․</w:t>
      </w:r>
      <w:r w:rsidRPr="00146D21">
        <w:rPr>
          <w:rFonts w:ascii="GHEA Grapalat" w:eastAsia="GHEA Grapalat" w:hAnsi="GHEA Grapalat" w:cs="GHEA Grapalat"/>
          <w:sz w:val="22"/>
          <w:szCs w:val="22"/>
          <w:lang w:val="hy-AM"/>
        </w:rPr>
        <w:t>7 տոկոսային կետ): Վերջինս իր հերթին պայմանավորված է եղել ինչպես ներկրվա</w:t>
      </w:r>
      <w:r w:rsidRPr="00146D21">
        <w:rPr>
          <w:rFonts w:ascii="GHEA Grapalat" w:eastAsia="GHEA Grapalat" w:hAnsi="GHEA Grapalat" w:cs="GHEA Grapalat"/>
          <w:bCs/>
          <w:sz w:val="22"/>
          <w:szCs w:val="22"/>
          <w:lang w:val="hy-AM"/>
        </w:rPr>
        <w:t>ծ</w:t>
      </w:r>
      <w:r w:rsidRPr="00146D21">
        <w:rPr>
          <w:rFonts w:ascii="GHEA Grapalat" w:eastAsia="GHEA Grapalat" w:hAnsi="GHEA Grapalat" w:cs="GHEA Grapalat"/>
          <w:sz w:val="22"/>
          <w:szCs w:val="22"/>
          <w:lang w:val="hy-AM"/>
        </w:rPr>
        <w:t xml:space="preserve">, այնպես էլ ներհանրապետական և արտահանման հետ կապված բեռնափոխադրումների աճով։ Ուղևորափոխադրումների ծավալն աճել է 30.7%-ով՝ հիմնականում պայմանավորված ավտոմոբիլային ուղևորափոխադրումների աճով (նպաստումը՝ 25.8 տոկոսային կետ): </w:t>
      </w:r>
    </w:p>
    <w:p w:rsidR="00664493" w:rsidRPr="00146D21" w:rsidRDefault="00664493" w:rsidP="00664493">
      <w:pPr>
        <w:spacing w:line="360" w:lineRule="auto"/>
        <w:ind w:firstLine="567"/>
        <w:jc w:val="both"/>
        <w:rPr>
          <w:rFonts w:ascii="GHEA Grapalat" w:eastAsia="GHEA Grapalat" w:hAnsi="GHEA Grapalat" w:cs="GHEA Grapalat"/>
          <w:sz w:val="22"/>
          <w:szCs w:val="22"/>
          <w:lang w:val="hy-AM"/>
        </w:rPr>
      </w:pPr>
      <w:r w:rsidRPr="00146D21">
        <w:rPr>
          <w:rFonts w:ascii="GHEA Grapalat" w:eastAsia="GHEA Grapalat" w:hAnsi="GHEA Grapalat" w:cs="GHEA Grapalat"/>
          <w:sz w:val="22"/>
          <w:szCs w:val="22"/>
          <w:lang w:val="hy-AM"/>
        </w:rPr>
        <w:t>Զբոսաշրջիկների այցելությունների բարձր աճն (2023թ. առաջին եռամսյակում նախորդ տարվա նույն ժամանակահատվածի նկատմամբ 81.2%-ով) իր հերթին դրական ազդեցություն է ունեցել ծառայությունների որոշ տեսակների, առևտրի, ինչպես նաև ուղևորափոխադրումների վրա:</w:t>
      </w:r>
    </w:p>
    <w:p w:rsidR="00664493" w:rsidRPr="00146D21" w:rsidRDefault="00664493" w:rsidP="00664493">
      <w:pPr>
        <w:spacing w:line="336" w:lineRule="auto"/>
        <w:ind w:firstLine="547"/>
        <w:jc w:val="both"/>
        <w:rPr>
          <w:rFonts w:ascii="GHEA Grapalat" w:eastAsia="GHEA Grapalat" w:hAnsi="GHEA Grapalat" w:cs="GHEA Grapalat"/>
          <w:sz w:val="22"/>
          <w:szCs w:val="22"/>
          <w:lang w:val="hy-AM"/>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002"/>
      </w:tblGrid>
      <w:tr w:rsidR="00664493" w:rsidRPr="00CB396C" w:rsidTr="00D87203">
        <w:trPr>
          <w:trHeight w:val="3846"/>
        </w:trPr>
        <w:tc>
          <w:tcPr>
            <w:tcW w:w="5237" w:type="dxa"/>
          </w:tcPr>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cs="Sylfaen"/>
                <w:b/>
                <w:bCs/>
                <w:i/>
                <w:sz w:val="16"/>
                <w:szCs w:val="16"/>
                <w:lang w:val="hy-AM"/>
              </w:rPr>
              <w:lastRenderedPageBreak/>
              <w:t>Գծապատկեր 4.</w:t>
            </w:r>
            <w:r w:rsidRPr="00CB396C">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664493" w:rsidRPr="00CB396C" w:rsidRDefault="00664493" w:rsidP="00D87203">
            <w:pPr>
              <w:tabs>
                <w:tab w:val="right" w:pos="0"/>
              </w:tabs>
              <w:spacing w:before="120" w:after="60" w:line="240" w:lineRule="auto"/>
              <w:contextualSpacing/>
              <w:rPr>
                <w:rFonts w:ascii="GHEA Grapalat" w:hAnsi="GHEA Grapalat"/>
                <w:sz w:val="16"/>
                <w:szCs w:val="16"/>
                <w:lang w:val="hy-AM"/>
              </w:rPr>
            </w:pPr>
            <w:r w:rsidRPr="00CB396C">
              <w:rPr>
                <w:rFonts w:ascii="GHEA Grapalat" w:hAnsi="GHEA Grapalat"/>
                <w:noProof/>
              </w:rPr>
              <w:drawing>
                <wp:inline distT="0" distB="0" distL="0" distR="0" wp14:anchorId="6ADA7C0E" wp14:editId="5AD6176D">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4493" w:rsidRPr="00CB396C" w:rsidRDefault="00664493" w:rsidP="00D87203">
            <w:pPr>
              <w:tabs>
                <w:tab w:val="right" w:pos="0"/>
              </w:tabs>
              <w:spacing w:before="120" w:after="60" w:line="360" w:lineRule="auto"/>
              <w:contextualSpacing/>
              <w:jc w:val="both"/>
              <w:rPr>
                <w:rFonts w:ascii="GHEA Grapalat" w:hAnsi="GHEA Grapalat" w:cs="Sylfaen"/>
                <w:i/>
                <w:sz w:val="16"/>
                <w:szCs w:val="16"/>
                <w:lang w:val="hy-AM"/>
              </w:rPr>
            </w:pPr>
            <w:r w:rsidRPr="00CB396C">
              <w:rPr>
                <w:rFonts w:ascii="GHEA Grapalat" w:hAnsi="GHEA Grapalat"/>
                <w:i/>
                <w:sz w:val="16"/>
                <w:szCs w:val="16"/>
                <w:lang w:val="hy-AM"/>
              </w:rPr>
              <w:t>Աղբյուրը՝ ՀՀ ՎԿ</w:t>
            </w:r>
          </w:p>
        </w:tc>
        <w:tc>
          <w:tcPr>
            <w:tcW w:w="5008" w:type="dxa"/>
          </w:tcPr>
          <w:p w:rsidR="00664493" w:rsidRPr="00CB396C" w:rsidRDefault="00664493" w:rsidP="00D87203">
            <w:pPr>
              <w:tabs>
                <w:tab w:val="right" w:pos="0"/>
              </w:tabs>
              <w:spacing w:before="120" w:after="0" w:line="240" w:lineRule="auto"/>
              <w:contextualSpacing/>
              <w:rPr>
                <w:rFonts w:ascii="GHEA Grapalat" w:hAnsi="GHEA Grapalat" w:cs="Sylfaen"/>
                <w:i/>
                <w:sz w:val="16"/>
                <w:szCs w:val="16"/>
                <w:lang w:val="hy-AM"/>
              </w:rPr>
            </w:pPr>
            <w:r w:rsidRPr="00CB396C">
              <w:rPr>
                <w:rFonts w:ascii="GHEA Grapalat" w:hAnsi="GHEA Grapalat"/>
                <w:noProof/>
                <w:sz w:val="16"/>
                <w:szCs w:val="16"/>
              </w:rPr>
              <w:drawing>
                <wp:anchor distT="0" distB="0" distL="114300" distR="114300" simplePos="0" relativeHeight="251652096" behindDoc="1" locked="0" layoutInCell="1" allowOverlap="1" wp14:anchorId="624D91A1" wp14:editId="54D8AFF1">
                  <wp:simplePos x="0" y="0"/>
                  <wp:positionH relativeFrom="column">
                    <wp:posOffset>-6350</wp:posOffset>
                  </wp:positionH>
                  <wp:positionV relativeFrom="paragraph">
                    <wp:posOffset>297180</wp:posOffset>
                  </wp:positionV>
                  <wp:extent cx="3020695" cy="1840230"/>
                  <wp:effectExtent l="0" t="0" r="8255" b="7620"/>
                  <wp:wrapTight wrapText="bothSides">
                    <wp:wrapPolygon edited="0">
                      <wp:start x="0" y="0"/>
                      <wp:lineTo x="0" y="21466"/>
                      <wp:lineTo x="21523" y="21466"/>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CB396C">
              <w:rPr>
                <w:rFonts w:ascii="GHEA Grapalat" w:hAnsi="GHEA Grapalat" w:cs="Sylfaen"/>
                <w:b/>
                <w:i/>
                <w:sz w:val="16"/>
                <w:szCs w:val="16"/>
                <w:lang w:val="hy-AM"/>
              </w:rPr>
              <w:t>Գծապատկեր 5.</w:t>
            </w:r>
            <w:r w:rsidRPr="00CB396C">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664493" w:rsidRPr="00CB396C" w:rsidRDefault="00664493" w:rsidP="00D87203">
            <w:pPr>
              <w:spacing w:after="60" w:line="240" w:lineRule="auto"/>
              <w:jc w:val="both"/>
              <w:rPr>
                <w:rFonts w:ascii="GHEA Grapalat" w:hAnsi="GHEA Grapalat"/>
                <w:i/>
                <w:sz w:val="16"/>
                <w:szCs w:val="16"/>
                <w:lang w:val="hy-AM"/>
              </w:rPr>
            </w:pPr>
            <w:r w:rsidRPr="00CB396C">
              <w:rPr>
                <w:rFonts w:ascii="GHEA Grapalat" w:hAnsi="GHEA Grapalat"/>
                <w:i/>
                <w:sz w:val="16"/>
                <w:szCs w:val="16"/>
                <w:lang w:val="hy-AM"/>
              </w:rPr>
              <w:t>Աղբյուրը՝ ՀՀ ՎԿ</w:t>
            </w:r>
            <w:r w:rsidRPr="00CB396C" w:rsidDel="00DA0563">
              <w:rPr>
                <w:rFonts w:ascii="GHEA Grapalat" w:hAnsi="GHEA Grapalat"/>
                <w:i/>
                <w:sz w:val="16"/>
                <w:szCs w:val="16"/>
                <w:lang w:val="hy-AM"/>
              </w:rPr>
              <w:t xml:space="preserve"> </w:t>
            </w:r>
          </w:p>
        </w:tc>
      </w:tr>
      <w:tr w:rsidR="00664493" w:rsidRPr="00B84E08" w:rsidTr="00D87203">
        <w:trPr>
          <w:trHeight w:val="3671"/>
        </w:trPr>
        <w:tc>
          <w:tcPr>
            <w:tcW w:w="5237" w:type="dxa"/>
          </w:tcPr>
          <w:p w:rsidR="00664493" w:rsidRPr="00CB396C" w:rsidRDefault="00664493" w:rsidP="00D87203">
            <w:pPr>
              <w:tabs>
                <w:tab w:val="right" w:pos="0"/>
              </w:tabs>
              <w:spacing w:before="120" w:after="60" w:line="240" w:lineRule="auto"/>
              <w:contextualSpacing/>
              <w:rPr>
                <w:rFonts w:ascii="GHEA Grapalat" w:hAnsi="GHEA Grapalat" w:cs="Sylfaen"/>
                <w:b/>
                <w:bCs/>
                <w:i/>
                <w:sz w:val="6"/>
                <w:szCs w:val="6"/>
                <w:lang w:val="hy-AM"/>
              </w:rPr>
            </w:pPr>
          </w:p>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cs="Sylfaen"/>
                <w:b/>
                <w:bCs/>
                <w:i/>
                <w:sz w:val="16"/>
                <w:szCs w:val="16"/>
                <w:lang w:val="hy-AM"/>
              </w:rPr>
              <w:t>Գծապատկեր 6.</w:t>
            </w:r>
            <w:r w:rsidRPr="00CB396C">
              <w:rPr>
                <w:rFonts w:ascii="GHEA Grapalat" w:hAnsi="GHEA Grapalat" w:cs="Sylfaen"/>
                <w:i/>
                <w:sz w:val="16"/>
                <w:szCs w:val="16"/>
                <w:lang w:val="hy-AM"/>
              </w:rPr>
              <w:t xml:space="preserve"> Տնտեսության ճյուղերի նպաստումները ՏԱՑ-ին (տ.կ.)</w:t>
            </w:r>
            <w:r w:rsidRPr="00CB396C">
              <w:rPr>
                <w:rFonts w:ascii="GHEA Grapalat" w:hAnsi="GHEA Grapalat" w:cs="Sylfaen"/>
                <w:i/>
                <w:sz w:val="16"/>
                <w:szCs w:val="16"/>
                <w:vertAlign w:val="superscript"/>
                <w:lang w:val="hy-AM"/>
              </w:rPr>
              <w:footnoteReference w:id="9"/>
            </w:r>
            <w:r w:rsidRPr="00CB396C">
              <w:rPr>
                <w:rFonts w:ascii="GHEA Grapalat" w:hAnsi="GHEA Grapalat" w:cs="Sylfaen"/>
                <w:i/>
                <w:sz w:val="16"/>
                <w:szCs w:val="16"/>
                <w:lang w:val="hy-AM"/>
              </w:rPr>
              <w:t xml:space="preserve"> </w:t>
            </w:r>
          </w:p>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i/>
                <w:noProof/>
                <w:sz w:val="16"/>
                <w:szCs w:val="16"/>
              </w:rPr>
              <w:drawing>
                <wp:inline distT="0" distB="0" distL="0" distR="0" wp14:anchorId="17E2A451" wp14:editId="6CC68340">
                  <wp:extent cx="3095625" cy="1857375"/>
                  <wp:effectExtent l="0" t="0" r="9525"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4493" w:rsidRPr="00CB396C" w:rsidRDefault="00664493" w:rsidP="00D87203">
            <w:pPr>
              <w:tabs>
                <w:tab w:val="right" w:pos="0"/>
              </w:tabs>
              <w:spacing w:before="120" w:after="60" w:line="360" w:lineRule="auto"/>
              <w:contextualSpacing/>
              <w:jc w:val="both"/>
              <w:rPr>
                <w:rFonts w:ascii="GHEA Grapalat" w:hAnsi="GHEA Grapalat" w:cs="Sylfaen"/>
                <w:lang w:val="hy-AM"/>
              </w:rPr>
            </w:pPr>
            <w:r w:rsidRPr="00CB396C">
              <w:rPr>
                <w:rFonts w:ascii="GHEA Grapalat" w:hAnsi="GHEA Grapalat"/>
                <w:i/>
                <w:sz w:val="16"/>
                <w:szCs w:val="16"/>
                <w:lang w:val="hy-AM"/>
              </w:rPr>
              <w:t>Աղբյուրը՝ ՀՀ ՎԿ, ՀՀ ՖՆ հաշվարկներ</w:t>
            </w:r>
            <w:r w:rsidRPr="00CB396C">
              <w:rPr>
                <w:rFonts w:ascii="GHEA Grapalat" w:hAnsi="GHEA Grapalat"/>
                <w:lang w:val="hy-AM"/>
              </w:rPr>
              <w:t xml:space="preserve"> </w:t>
            </w:r>
          </w:p>
        </w:tc>
        <w:tc>
          <w:tcPr>
            <w:tcW w:w="5008" w:type="dxa"/>
          </w:tcPr>
          <w:p w:rsidR="00664493" w:rsidRPr="00CB396C" w:rsidRDefault="00664493" w:rsidP="00D87203">
            <w:pPr>
              <w:tabs>
                <w:tab w:val="right" w:pos="0"/>
              </w:tabs>
              <w:spacing w:before="120" w:after="60" w:line="312" w:lineRule="auto"/>
              <w:contextualSpacing/>
              <w:jc w:val="both"/>
              <w:rPr>
                <w:rFonts w:ascii="GHEA Grapalat" w:hAnsi="GHEA Grapalat" w:cs="Sylfaen"/>
                <w:b/>
                <w:i/>
                <w:sz w:val="4"/>
                <w:szCs w:val="4"/>
                <w:lang w:val="hy-AM"/>
              </w:rPr>
            </w:pPr>
          </w:p>
          <w:p w:rsidR="00664493" w:rsidRPr="00CB396C" w:rsidRDefault="00664493" w:rsidP="00D87203">
            <w:pPr>
              <w:tabs>
                <w:tab w:val="right" w:pos="0"/>
              </w:tabs>
              <w:spacing w:before="120" w:after="60" w:line="240" w:lineRule="auto"/>
              <w:contextualSpacing/>
              <w:rPr>
                <w:rFonts w:ascii="GHEA Grapalat" w:hAnsi="GHEA Grapalat" w:cs="Sylfaen"/>
                <w:i/>
                <w:sz w:val="16"/>
                <w:szCs w:val="16"/>
                <w:lang w:val="hy-AM"/>
              </w:rPr>
            </w:pPr>
            <w:r w:rsidRPr="00CB396C">
              <w:rPr>
                <w:rFonts w:ascii="GHEA Grapalat" w:hAnsi="GHEA Grapalat" w:cs="Sylfaen"/>
                <w:b/>
                <w:i/>
                <w:sz w:val="16"/>
                <w:szCs w:val="16"/>
                <w:lang w:val="hy-AM"/>
              </w:rPr>
              <w:t>Գծապատկեր 7.</w:t>
            </w:r>
            <w:r w:rsidRPr="00CB396C">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CB396C">
              <w:rPr>
                <w:rFonts w:ascii="GHEA Grapalat" w:hAnsi="GHEA Grapalat" w:cs="Sylfaen"/>
                <w:i/>
                <w:sz w:val="18"/>
                <w:szCs w:val="18"/>
                <w:lang w:val="hy-AM"/>
              </w:rPr>
              <w:t xml:space="preserve"> </w:t>
            </w:r>
            <w:r w:rsidRPr="00CB396C">
              <w:rPr>
                <w:rFonts w:ascii="GHEA Grapalat" w:hAnsi="GHEA Grapalat" w:cs="Sylfaen"/>
                <w:i/>
                <w:sz w:val="16"/>
                <w:szCs w:val="18"/>
                <w:lang w:val="hy-AM"/>
              </w:rPr>
              <w:t>(տ.կ.)</w:t>
            </w:r>
            <w:r w:rsidRPr="00CB396C">
              <w:rPr>
                <w:rFonts w:ascii="GHEA Grapalat" w:hAnsi="GHEA Grapalat" w:cs="Sylfaen"/>
                <w:i/>
                <w:sz w:val="16"/>
                <w:szCs w:val="16"/>
                <w:vertAlign w:val="superscript"/>
                <w:lang w:val="hy-AM"/>
              </w:rPr>
              <w:t xml:space="preserve"> </w:t>
            </w:r>
          </w:p>
          <w:p w:rsidR="00664493" w:rsidRPr="00CB396C" w:rsidRDefault="00664493" w:rsidP="00D87203">
            <w:pPr>
              <w:tabs>
                <w:tab w:val="right" w:pos="0"/>
              </w:tabs>
              <w:spacing w:before="120" w:after="60" w:line="240" w:lineRule="auto"/>
              <w:contextualSpacing/>
              <w:rPr>
                <w:rFonts w:ascii="GHEA Grapalat" w:hAnsi="GHEA Grapalat"/>
                <w:lang w:val="hy-AM"/>
              </w:rPr>
            </w:pPr>
            <w:r w:rsidRPr="00CB396C">
              <w:rPr>
                <w:rFonts w:ascii="GHEA Grapalat" w:hAnsi="GHEA Grapalat"/>
                <w:noProof/>
              </w:rPr>
              <w:drawing>
                <wp:inline distT="0" distB="0" distL="0" distR="0" wp14:anchorId="16A62790" wp14:editId="7F4875C8">
                  <wp:extent cx="2963545" cy="1865327"/>
                  <wp:effectExtent l="0" t="0" r="8255" b="190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4493" w:rsidRPr="00CB396C" w:rsidRDefault="00664493" w:rsidP="00D87203">
            <w:pPr>
              <w:spacing w:before="40" w:after="60" w:line="312" w:lineRule="auto"/>
              <w:jc w:val="both"/>
              <w:rPr>
                <w:rFonts w:ascii="GHEA Grapalat" w:hAnsi="GHEA Grapalat"/>
                <w:i/>
                <w:sz w:val="16"/>
                <w:szCs w:val="16"/>
                <w:lang w:val="hy-AM"/>
              </w:rPr>
            </w:pPr>
            <w:r w:rsidRPr="00CB396C">
              <w:rPr>
                <w:rFonts w:ascii="GHEA Grapalat" w:hAnsi="GHEA Grapalat"/>
                <w:i/>
                <w:sz w:val="16"/>
                <w:szCs w:val="16"/>
                <w:lang w:val="hy-AM"/>
              </w:rPr>
              <w:t>Աղբյուրը՝ ՀՀ ՎԿ, ՀՀ ՖՆ հաշվարկներ</w:t>
            </w:r>
          </w:p>
        </w:tc>
      </w:tr>
    </w:tbl>
    <w:p w:rsidR="00D87203" w:rsidRPr="00CB396C" w:rsidRDefault="00D87203" w:rsidP="00664493">
      <w:pPr>
        <w:spacing w:line="360" w:lineRule="auto"/>
        <w:ind w:firstLine="567"/>
        <w:jc w:val="both"/>
        <w:rPr>
          <w:rFonts w:ascii="GHEA Grapalat" w:eastAsia="GHEA Grapalat" w:hAnsi="GHEA Grapalat" w:cs="GHEA Grapalat"/>
          <w:b/>
          <w:i/>
          <w:sz w:val="22"/>
          <w:szCs w:val="22"/>
          <w:lang w:val="hy-AM"/>
        </w:rPr>
      </w:pPr>
    </w:p>
    <w:p w:rsidR="00664493" w:rsidRPr="00CB396C" w:rsidRDefault="00664493" w:rsidP="00664493">
      <w:pPr>
        <w:spacing w:line="360" w:lineRule="auto"/>
        <w:ind w:firstLine="567"/>
        <w:jc w:val="both"/>
        <w:rPr>
          <w:rFonts w:ascii="GHEA Grapalat" w:eastAsia="GHEA Grapalat" w:hAnsi="GHEA Grapalat" w:cs="GHEA Grapalat"/>
          <w:sz w:val="22"/>
          <w:szCs w:val="22"/>
          <w:lang w:val="hy-AM"/>
        </w:rPr>
      </w:pPr>
      <w:r w:rsidRPr="00CB396C">
        <w:rPr>
          <w:rFonts w:ascii="GHEA Grapalat" w:eastAsia="GHEA Grapalat" w:hAnsi="GHEA Grapalat" w:cs="GHEA Grapalat"/>
          <w:b/>
          <w:i/>
          <w:sz w:val="22"/>
          <w:szCs w:val="22"/>
          <w:lang w:val="hy-AM"/>
        </w:rPr>
        <w:t>Համախառն պահանջարկ</w:t>
      </w:r>
      <w:r w:rsidRPr="00CB396C">
        <w:rPr>
          <w:rFonts w:ascii="GHEA Grapalat" w:eastAsia="GHEA Grapalat" w:hAnsi="GHEA Grapalat" w:cs="GHEA Grapalat"/>
          <w:b/>
          <w:sz w:val="22"/>
          <w:szCs w:val="22"/>
          <w:vertAlign w:val="superscript"/>
        </w:rPr>
        <w:footnoteReference w:id="10"/>
      </w:r>
      <w:r w:rsidRPr="00CB396C">
        <w:rPr>
          <w:rFonts w:ascii="GHEA Grapalat" w:eastAsia="GHEA Grapalat" w:hAnsi="GHEA Grapalat" w:cs="GHEA Grapalat"/>
          <w:b/>
          <w:i/>
          <w:sz w:val="22"/>
          <w:szCs w:val="22"/>
          <w:lang w:val="hy-AM"/>
        </w:rPr>
        <w:t>:</w:t>
      </w:r>
      <w:r w:rsidRPr="00CB396C">
        <w:rPr>
          <w:rFonts w:ascii="GHEA Grapalat" w:eastAsia="GHEA Grapalat" w:hAnsi="GHEA Grapalat" w:cs="GHEA Grapalat"/>
          <w:b/>
          <w:sz w:val="22"/>
          <w:szCs w:val="22"/>
          <w:vertAlign w:val="superscript"/>
          <w:lang w:val="hy-AM"/>
        </w:rPr>
        <w:t xml:space="preserve"> </w:t>
      </w:r>
      <w:r w:rsidRPr="00CB396C">
        <w:rPr>
          <w:rFonts w:ascii="GHEA Grapalat" w:eastAsia="GHEA Grapalat" w:hAnsi="GHEA Grapalat" w:cs="GHEA Grapalat"/>
          <w:sz w:val="22"/>
          <w:szCs w:val="22"/>
          <w:lang w:val="hy-AM"/>
        </w:rPr>
        <w:t>Հունվար-մարտին տնտեսական ակտիվության աճն ուղեկցվել է ինչպես ներքին, այնպես էլ արտաքին պահանջարկի աճով:</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bCs/>
          <w:i/>
          <w:iCs/>
          <w:sz w:val="22"/>
          <w:szCs w:val="22"/>
          <w:lang w:val="hy-AM"/>
        </w:rPr>
        <w:t>Սպառում։</w:t>
      </w:r>
      <w:r w:rsidRPr="00CB396C">
        <w:rPr>
          <w:rFonts w:ascii="GHEA Grapalat" w:eastAsia="GHEA Grapalat" w:hAnsi="GHEA Grapalat" w:cs="GHEA Grapalat"/>
          <w:sz w:val="22"/>
          <w:szCs w:val="22"/>
          <w:lang w:val="hy-AM"/>
        </w:rPr>
        <w:t xml:space="preserve"> Հունվար-մարտին սպառումն իրական արտահայտությամբ աճել է շուրջ 6%-ով՝ պայմանավորված մասնավոր հատվածի սպառման աճով, որին նպաստել են բնակչության տնօրինվող եկամտի աճը (այդ թվում՝ դրամական փոխանցումների բարձր աճը, ինչպես նաև ծառայությունների ոլորտում աշխատավարձերի բարձր աճերը), ինչպես նաև սպառողական վարկավորման աճը: Մասնավոր սպառման աճին դրական նպաստում է ունեցել նաև դեպի Հայաստան զբոսաշրջության բարձր աճը: Տնտեսական բարձր աճի պայմաններում իրականացվող զսպող հարկաբյուջետային քաղաքականության հետևանքով պետական սպառման նվազումը զսպել է սպառման աճը։</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bCs/>
          <w:i/>
          <w:iCs/>
          <w:sz w:val="22"/>
          <w:szCs w:val="22"/>
          <w:lang w:val="hy-AM"/>
        </w:rPr>
        <w:lastRenderedPageBreak/>
        <w:t>Ներդրումներ։</w:t>
      </w:r>
      <w:r w:rsidRPr="00CB396C">
        <w:rPr>
          <w:rFonts w:ascii="GHEA Grapalat" w:eastAsia="GHEA Grapalat" w:hAnsi="GHEA Grapalat" w:cs="GHEA Grapalat"/>
          <w:sz w:val="22"/>
          <w:szCs w:val="22"/>
          <w:lang w:val="hy-AM"/>
        </w:rPr>
        <w:t xml:space="preserve"> Հունվար-մարտին գնահատվում է կապիտալ ներդրումների</w:t>
      </w:r>
      <w:r w:rsidRPr="00CB396C">
        <w:rPr>
          <w:rFonts w:ascii="GHEA Grapalat" w:eastAsia="GHEA Grapalat" w:hAnsi="GHEA Grapalat" w:cs="GHEA Grapalat"/>
          <w:sz w:val="22"/>
          <w:szCs w:val="22"/>
          <w:vertAlign w:val="superscript"/>
        </w:rPr>
        <w:footnoteReference w:id="11"/>
      </w:r>
      <w:r w:rsidR="009D3E29" w:rsidRPr="00146D21">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11.6% աճ՝ պայմանավորված մասնավոր ներդրումների աճով: Պետական ներդրումների նվազումը բացասաբար է նպաստել ընդհանուր ներդրումների աճին։ </w:t>
      </w:r>
      <w:r w:rsidRPr="00CB396C">
        <w:rPr>
          <w:rFonts w:ascii="GHEA Grapalat" w:hAnsi="GHEA Grapalat"/>
          <w:color w:val="000000"/>
          <w:sz w:val="22"/>
          <w:szCs w:val="22"/>
          <w:lang w:val="hy-AM"/>
        </w:rPr>
        <w:t>Մասնավոր ներդրո</w:t>
      </w:r>
      <w:r w:rsidR="009D3E29" w:rsidRPr="00CB396C">
        <w:rPr>
          <w:rFonts w:ascii="GHEA Grapalat" w:hAnsi="GHEA Grapalat"/>
          <w:color w:val="000000"/>
          <w:sz w:val="22"/>
          <w:szCs w:val="22"/>
          <w:lang w:val="hy-AM"/>
        </w:rPr>
        <w:t>ւմների վրա դրական ազդեցություն է</w:t>
      </w:r>
      <w:r w:rsidRPr="00CB396C">
        <w:rPr>
          <w:rFonts w:ascii="GHEA Grapalat" w:hAnsi="GHEA Grapalat"/>
          <w:color w:val="000000"/>
          <w:sz w:val="22"/>
          <w:szCs w:val="22"/>
          <w:lang w:val="hy-AM"/>
        </w:rPr>
        <w:t xml:space="preserve"> ունեցել </w:t>
      </w:r>
      <w:r w:rsidR="00793C13" w:rsidRPr="00CB396C">
        <w:rPr>
          <w:rFonts w:ascii="GHEA Grapalat" w:hAnsi="GHEA Grapalat"/>
          <w:color w:val="000000"/>
          <w:sz w:val="22"/>
          <w:szCs w:val="22"/>
          <w:lang w:val="hy-AM"/>
        </w:rPr>
        <w:t>հիպոտեկ</w:t>
      </w:r>
      <w:r w:rsidRPr="00CB396C">
        <w:rPr>
          <w:rFonts w:ascii="GHEA Grapalat" w:hAnsi="GHEA Grapalat"/>
          <w:color w:val="000000"/>
          <w:sz w:val="22"/>
          <w:szCs w:val="22"/>
          <w:lang w:val="hy-AM"/>
        </w:rPr>
        <w:t>ային և շինարարության վարկերի ծավալների աճը:</w:t>
      </w:r>
      <w:r w:rsidR="006E27DC" w:rsidRPr="00CB396C">
        <w:rPr>
          <w:rFonts w:ascii="GHEA Grapalat" w:hAnsi="GHEA Grapalat"/>
          <w:color w:val="000000"/>
          <w:sz w:val="22"/>
          <w:szCs w:val="22"/>
          <w:lang w:val="hy-AM"/>
        </w:rPr>
        <w:t xml:space="preserve"> </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sz w:val="22"/>
          <w:szCs w:val="22"/>
          <w:lang w:val="hy-AM"/>
        </w:rPr>
        <w:t>Ներդրումների աճը հիմնականում պայմանավորված է եղել անշարժ գույքի հետ կապված գործունեության, կրթության, ինչպես նաև մշակույթ, զվարճություններ և հանգիստ ոլորտներում կատարված ներդրումների աճերով</w:t>
      </w:r>
      <w:r w:rsidRPr="00CB396C">
        <w:rPr>
          <w:rFonts w:ascii="GHEA Grapalat" w:eastAsia="GHEA Grapalat" w:hAnsi="GHEA Grapalat" w:cs="GHEA Grapalat"/>
          <w:sz w:val="22"/>
          <w:szCs w:val="22"/>
          <w:vertAlign w:val="superscript"/>
        </w:rPr>
        <w:footnoteReference w:id="12"/>
      </w:r>
      <w:r w:rsidRPr="00CB396C">
        <w:rPr>
          <w:rFonts w:ascii="GHEA Grapalat" w:eastAsia="GHEA Grapalat" w:hAnsi="GHEA Grapalat" w:cs="GHEA Grapalat"/>
          <w:sz w:val="22"/>
          <w:szCs w:val="22"/>
          <w:lang w:val="hy-AM"/>
        </w:rPr>
        <w:t>:</w:t>
      </w:r>
    </w:p>
    <w:p w:rsidR="00664493" w:rsidRPr="00CB396C" w:rsidRDefault="00664493" w:rsidP="00664493">
      <w:pPr>
        <w:spacing w:line="336" w:lineRule="auto"/>
        <w:ind w:firstLine="547"/>
        <w:jc w:val="both"/>
        <w:rPr>
          <w:rFonts w:ascii="GHEA Grapalat" w:eastAsia="GHEA Grapalat" w:hAnsi="GHEA Grapalat" w:cs="GHEA Grapalat"/>
          <w:sz w:val="22"/>
          <w:szCs w:val="22"/>
          <w:lang w:val="hy-AM"/>
        </w:rPr>
      </w:pPr>
      <w:r w:rsidRPr="00CB396C">
        <w:rPr>
          <w:rFonts w:ascii="GHEA Grapalat" w:eastAsia="GHEA Grapalat" w:hAnsi="GHEA Grapalat" w:cs="GHEA Grapalat"/>
          <w:b/>
          <w:bCs/>
          <w:i/>
          <w:iCs/>
          <w:sz w:val="22"/>
          <w:szCs w:val="22"/>
          <w:lang w:val="hy-AM"/>
        </w:rPr>
        <w:t>Զուտ արտահանում։</w:t>
      </w:r>
      <w:r w:rsidRPr="00CB396C">
        <w:rPr>
          <w:rFonts w:ascii="GHEA Grapalat" w:eastAsia="GHEA Grapalat" w:hAnsi="GHEA Grapalat" w:cs="GHEA Grapalat"/>
          <w:sz w:val="22"/>
          <w:szCs w:val="22"/>
          <w:lang w:val="hy-AM"/>
        </w:rPr>
        <w:t xml:space="preserve"> Ապրանքների և ծառայությունների արտահանման իրական ծավալների աճը գնահատվում է մոտ 77.4%`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47.4%-ով` պայմանավորված տնտեսական ակտիվության և ներքին պահանջարկի աճով: Ներմուծման աճին դրական նպաստում է ունեցել նաև արժևորված ազգային արժույթը և տնտես</w:t>
      </w:r>
      <w:r w:rsidR="009D3E29" w:rsidRPr="00146D21">
        <w:rPr>
          <w:rFonts w:ascii="GHEA Grapalat" w:eastAsia="GHEA Grapalat" w:hAnsi="GHEA Grapalat" w:cs="GHEA Grapalat"/>
          <w:sz w:val="22"/>
          <w:szCs w:val="22"/>
          <w:lang w:val="hy-AM"/>
        </w:rPr>
        <w:t>ա</w:t>
      </w:r>
      <w:r w:rsidRPr="00CB396C">
        <w:rPr>
          <w:rFonts w:ascii="GHEA Grapalat" w:eastAsia="GHEA Grapalat" w:hAnsi="GHEA Grapalat" w:cs="GHEA Grapalat"/>
          <w:sz w:val="22"/>
          <w:szCs w:val="22"/>
          <w:lang w:val="hy-AM"/>
        </w:rPr>
        <w:t>վարողների կողմից ազգային արժույթի արժեզրկման սպասումներով պայմանավորված ներմուծման ծավալների աճը:</w:t>
      </w:r>
    </w:p>
    <w:p w:rsidR="00563135" w:rsidRPr="00CB396C" w:rsidRDefault="00563135" w:rsidP="00773FC6">
      <w:pPr>
        <w:spacing w:line="360" w:lineRule="auto"/>
        <w:ind w:firstLine="567"/>
        <w:jc w:val="both"/>
        <w:rPr>
          <w:rFonts w:ascii="GHEA Grapalat" w:hAnsi="GHEA Grapalat" w:cs="GHEA Grapalat"/>
          <w:sz w:val="22"/>
          <w:szCs w:val="22"/>
          <w:lang w:val="hy-AM"/>
        </w:rPr>
      </w:pPr>
    </w:p>
    <w:p w:rsidR="00563135" w:rsidRPr="00CB396C" w:rsidRDefault="00563135" w:rsidP="00563135">
      <w:pPr>
        <w:pStyle w:val="Heading6"/>
        <w:ind w:left="567"/>
        <w:rPr>
          <w:rFonts w:ascii="GHEA Grapalat" w:hAnsi="GHEA Grapalat"/>
          <w:b/>
          <w:sz w:val="22"/>
          <w:szCs w:val="22"/>
          <w:u w:val="none"/>
        </w:rPr>
      </w:pPr>
      <w:bookmarkStart w:id="21" w:name="_Toc71311883"/>
      <w:r w:rsidRPr="00CB396C">
        <w:rPr>
          <w:rFonts w:ascii="GHEA Grapalat" w:hAnsi="GHEA Grapalat"/>
          <w:b/>
          <w:sz w:val="22"/>
          <w:szCs w:val="22"/>
          <w:u w:val="none"/>
        </w:rPr>
        <w:t>Աշխատանքի շուկա</w:t>
      </w:r>
      <w:bookmarkEnd w:id="21"/>
      <w:r w:rsidRPr="00CB396C">
        <w:rPr>
          <w:rFonts w:ascii="GHEA Grapalat" w:hAnsi="GHEA Grapalat"/>
          <w:b/>
          <w:sz w:val="22"/>
          <w:szCs w:val="22"/>
          <w:u w:val="none"/>
        </w:rPr>
        <w:t xml:space="preserve"> </w:t>
      </w:r>
    </w:p>
    <w:p w:rsidR="00D87203" w:rsidRPr="00CB396C" w:rsidRDefault="00D87203" w:rsidP="00D87203">
      <w:pPr>
        <w:tabs>
          <w:tab w:val="right" w:pos="8640"/>
        </w:tabs>
        <w:spacing w:line="360" w:lineRule="auto"/>
        <w:ind w:firstLine="540"/>
        <w:jc w:val="both"/>
        <w:rPr>
          <w:rFonts w:ascii="GHEA Grapalat" w:eastAsia="GHEA Grapalat" w:hAnsi="GHEA Grapalat"/>
          <w:sz w:val="22"/>
          <w:szCs w:val="22"/>
          <w:lang w:val="hy-AM"/>
        </w:rPr>
      </w:pPr>
      <w:r w:rsidRPr="00CB396C">
        <w:rPr>
          <w:rFonts w:ascii="GHEA Grapalat" w:eastAsia="GHEA Grapalat" w:hAnsi="GHEA Grapalat"/>
          <w:sz w:val="22"/>
          <w:szCs w:val="22"/>
          <w:lang w:val="hy-AM"/>
        </w:rPr>
        <w:t>Տնտեսական բարձր ակտիվության պայմաններում հունվար-մարտին վարձու աշխատողների թիվը և աշխատավարձերը աճել են։ 2023 թվականի հունվար-մարտին պաշտոնապես գրանցված գործազուրկների միջին ամսական թիվը նախորդ տարվա նույն ժամանակահատվածի նկատմամբ նվազել է 16.4%-ով՝ կազմելով 47,826 մարդ: Միևնույն ժամանակ վարձու աշխատողների թիվն աճել է շուրջ 6.1%-ով՝ կազմելով 699,239</w:t>
      </w:r>
      <w:r w:rsidR="006E27DC" w:rsidRPr="00CB396C">
        <w:rPr>
          <w:rFonts w:ascii="GHEA Grapalat" w:eastAsia="GHEA Grapalat" w:hAnsi="GHEA Grapalat"/>
          <w:sz w:val="22"/>
          <w:szCs w:val="22"/>
          <w:lang w:val="hy-AM"/>
        </w:rPr>
        <w:t xml:space="preserve"> </w:t>
      </w:r>
      <w:r w:rsidRPr="00CB396C">
        <w:rPr>
          <w:rFonts w:ascii="GHEA Grapalat" w:eastAsia="GHEA Grapalat" w:hAnsi="GHEA Grapalat"/>
          <w:sz w:val="22"/>
          <w:szCs w:val="22"/>
          <w:lang w:val="hy-AM"/>
        </w:rPr>
        <w:t>մարդ։ Վարձու աշխատողների թվի աճին հիմնականում նպաստել են մշակող արդյունաբերության, տեղեկատվական տեխնոլոգիաների, շինարարության, մշակույթ, զվարճություններ և հանգիստ, ինչպես նաև կացության և հանրային սննդի կազմակերպման ոլորտներում աշխատողների թվի աճը։ Սա իր հերթին հիմնականում պայմանավորված է ՀՀ ժամանած զբոսաշրջիկների և աշխատանքային միգրանտների թվի ավելացմամբ, ինչպես նաև մշակող արդյունաբերության արտադրանքի նկատմամբ պահանջարկի աճով և շինարարության ոլորտի դրական զարգացումներով։</w:t>
      </w:r>
    </w:p>
    <w:p w:rsidR="00D87203" w:rsidRPr="00CB396C" w:rsidRDefault="00D87203" w:rsidP="00D87203">
      <w:pPr>
        <w:tabs>
          <w:tab w:val="right" w:pos="8640"/>
        </w:tabs>
        <w:spacing w:line="360" w:lineRule="auto"/>
        <w:ind w:firstLine="540"/>
        <w:jc w:val="both"/>
        <w:rPr>
          <w:rFonts w:ascii="GHEA Grapalat" w:eastAsia="GHEA Grapalat" w:hAnsi="GHEA Grapalat"/>
          <w:sz w:val="22"/>
          <w:szCs w:val="22"/>
          <w:lang w:val="hy-AM"/>
        </w:rPr>
      </w:pPr>
      <w:r w:rsidRPr="00CB396C">
        <w:rPr>
          <w:rFonts w:ascii="GHEA Grapalat" w:eastAsia="GHEA Grapalat" w:hAnsi="GHEA Grapalat"/>
          <w:sz w:val="22"/>
          <w:szCs w:val="22"/>
          <w:lang w:val="hy-AM"/>
        </w:rPr>
        <w:lastRenderedPageBreak/>
        <w:t>2023 թվականի առաջին եռամսյակում միջին ամսական անվանական աշխատավարձը նախորդ տարվա նույն ժամանակահատվածի համեմատ աճել է 22.9%-ով` կազմելով 261,495 դրամ: Աշխատավարձի աճին հիմնականում նպաստել են տեղեկատվական տեխնոլոգիաների,</w:t>
      </w:r>
      <w:r w:rsidRPr="00CB396C">
        <w:rPr>
          <w:lang w:val="hy-AM"/>
        </w:rPr>
        <w:t xml:space="preserve"> </w:t>
      </w:r>
      <w:r w:rsidRPr="00CB396C">
        <w:rPr>
          <w:rFonts w:ascii="GHEA Grapalat" w:eastAsia="GHEA Grapalat" w:hAnsi="GHEA Grapalat"/>
          <w:sz w:val="22"/>
          <w:szCs w:val="22"/>
          <w:lang w:val="hy-AM"/>
        </w:rPr>
        <w:t>մշակող արդյունաբերության,</w:t>
      </w:r>
      <w:r w:rsidRPr="00CB396C">
        <w:rPr>
          <w:lang w:val="hy-AM"/>
        </w:rPr>
        <w:t xml:space="preserve"> </w:t>
      </w:r>
      <w:r w:rsidRPr="00CB396C">
        <w:rPr>
          <w:rFonts w:ascii="GHEA Grapalat" w:eastAsia="GHEA Grapalat" w:hAnsi="GHEA Grapalat"/>
          <w:sz w:val="22"/>
          <w:szCs w:val="22"/>
          <w:lang w:val="hy-AM"/>
        </w:rPr>
        <w:t>մեծածախ և մանրածախ առևտրի, ինչպես նաև մշակույթ, զվարճություններ և հանգիստ ոլորտների աշխատավարձերի աճը։ Միջին ամսական անվանական աշխատավարձը պետական հատվածում աճել է 9.1%-ով` կազմելով 189,509 դրամ, իսկ ոչ պետականում` 26.7%-ով և կազմել է 292,048 դրամ: Իրական աշխատավարձը՝ 7.2% գնաճի պայմաններում, 2022 թվականի նույն ժամանակահատվածի համեմատ աճել է շուրջ 14.6%-ով:</w:t>
      </w:r>
    </w:p>
    <w:p w:rsidR="00D87203" w:rsidRPr="00CB396C" w:rsidRDefault="00D87203" w:rsidP="007A3AAA">
      <w:pPr>
        <w:tabs>
          <w:tab w:val="right" w:pos="8640"/>
        </w:tabs>
        <w:spacing w:line="360" w:lineRule="auto"/>
        <w:ind w:firstLine="540"/>
        <w:jc w:val="both"/>
        <w:rPr>
          <w:rFonts w:ascii="GHEA Grapalat" w:eastAsia="GHEA Grapalat" w:hAnsi="GHEA Grapalat"/>
          <w:sz w:val="22"/>
          <w:szCs w:val="22"/>
          <w:lang w:val="hy-AM"/>
        </w:rPr>
      </w:pPr>
    </w:p>
    <w:p w:rsidR="00D87203" w:rsidRPr="00CB396C" w:rsidRDefault="00D87203" w:rsidP="00B56DB2">
      <w:pPr>
        <w:pStyle w:val="a"/>
        <w:numPr>
          <w:ilvl w:val="0"/>
          <w:numId w:val="15"/>
        </w:numPr>
        <w:rPr>
          <w:lang w:val="hy-AM"/>
        </w:rPr>
      </w:pPr>
      <w:r w:rsidRPr="00CB396C">
        <w:rPr>
          <w:lang w:val="hy-AM"/>
        </w:rPr>
        <w:t>Միջին ամսական աշխատավարձի աճը նախորդ տարվա նույն ժամանակահատ</w:t>
      </w:r>
      <w:r w:rsidR="007A3AAA" w:rsidRPr="00146D21">
        <w:rPr>
          <w:lang w:val="hy-AM"/>
        </w:rPr>
        <w:t>-</w:t>
      </w:r>
      <w:r w:rsidRPr="00CB396C">
        <w:rPr>
          <w:lang w:val="hy-AM"/>
        </w:rPr>
        <w:t>վածի նկատմամբ, %</w:t>
      </w:r>
    </w:p>
    <w:p w:rsidR="00D87203" w:rsidRPr="00CB396C" w:rsidRDefault="00D87203" w:rsidP="00D87203">
      <w:pPr>
        <w:tabs>
          <w:tab w:val="right" w:pos="8640"/>
        </w:tabs>
        <w:spacing w:line="360" w:lineRule="auto"/>
        <w:jc w:val="both"/>
        <w:rPr>
          <w:rFonts w:ascii="GHEA Grapalat" w:eastAsia="GHEA Grapalat" w:hAnsi="GHEA Grapalat"/>
          <w:sz w:val="22"/>
          <w:szCs w:val="22"/>
        </w:rPr>
      </w:pPr>
      <w:r w:rsidRPr="00CB396C">
        <w:rPr>
          <w:rFonts w:ascii="GHEA Grapalat" w:hAnsi="GHEA Grapalat"/>
          <w:noProof/>
          <w:sz w:val="16"/>
          <w:szCs w:val="16"/>
        </w:rPr>
        <w:drawing>
          <wp:inline distT="0" distB="0" distL="0" distR="0" wp14:anchorId="19DB7BE2" wp14:editId="142C5B41">
            <wp:extent cx="6685915" cy="2948025"/>
            <wp:effectExtent l="0" t="0" r="63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7203" w:rsidRPr="00CB396C" w:rsidRDefault="00D87203" w:rsidP="00D87203">
      <w:pPr>
        <w:tabs>
          <w:tab w:val="right" w:pos="8640"/>
        </w:tabs>
        <w:spacing w:line="360" w:lineRule="auto"/>
        <w:jc w:val="both"/>
        <w:rPr>
          <w:rFonts w:ascii="GHEA Grapalat" w:eastAsia="GHEA Grapalat" w:hAnsi="GHEA Grapalat"/>
          <w:sz w:val="22"/>
          <w:szCs w:val="22"/>
        </w:rPr>
      </w:pPr>
      <w:r w:rsidRPr="00CB396C">
        <w:rPr>
          <w:rFonts w:ascii="GHEA Grapalat" w:hAnsi="GHEA Grapalat"/>
          <w:i/>
          <w:sz w:val="18"/>
          <w:szCs w:val="18"/>
        </w:rPr>
        <w:t>Աղբյուրը՝ ՀՀ ՎԿ</w:t>
      </w:r>
    </w:p>
    <w:p w:rsidR="00AE25A7" w:rsidRPr="00CB396C" w:rsidRDefault="00AE25A7" w:rsidP="00773FC6">
      <w:pPr>
        <w:spacing w:line="360" w:lineRule="auto"/>
        <w:ind w:firstLine="567"/>
        <w:jc w:val="both"/>
        <w:rPr>
          <w:rFonts w:ascii="GHEA Grapalat" w:hAnsi="GHEA Grapalat" w:cs="GHEA Grapalat"/>
          <w:sz w:val="22"/>
          <w:szCs w:val="22"/>
          <w:lang w:val="hy-AM"/>
        </w:rPr>
      </w:pPr>
    </w:p>
    <w:p w:rsidR="00563135" w:rsidRPr="00CB396C" w:rsidRDefault="00563135" w:rsidP="00563135">
      <w:pPr>
        <w:pStyle w:val="Heading6"/>
        <w:ind w:left="567"/>
        <w:rPr>
          <w:rFonts w:ascii="GHEA Grapalat" w:hAnsi="GHEA Grapalat"/>
          <w:b/>
          <w:sz w:val="22"/>
          <w:szCs w:val="22"/>
          <w:u w:val="none"/>
        </w:rPr>
      </w:pPr>
      <w:bookmarkStart w:id="22" w:name="_Toc6389321"/>
      <w:bookmarkStart w:id="23" w:name="_Toc37763588"/>
      <w:bookmarkStart w:id="24" w:name="_Toc71311884"/>
      <w:r w:rsidRPr="00CB396C">
        <w:rPr>
          <w:rFonts w:ascii="GHEA Grapalat" w:hAnsi="GHEA Grapalat"/>
          <w:b/>
          <w:sz w:val="22"/>
          <w:szCs w:val="22"/>
          <w:u w:val="none"/>
        </w:rPr>
        <w:t>Գնաճ</w:t>
      </w:r>
      <w:bookmarkEnd w:id="22"/>
      <w:bookmarkEnd w:id="23"/>
      <w:r w:rsidRPr="00CB396C">
        <w:rPr>
          <w:rFonts w:ascii="GHEA Grapalat" w:hAnsi="GHEA Grapalat"/>
          <w:b/>
          <w:sz w:val="22"/>
          <w:szCs w:val="22"/>
          <w:u w:val="none"/>
        </w:rPr>
        <w:t xml:space="preserve"> և դրամավարկային քաղաքականություն</w:t>
      </w:r>
      <w:bookmarkEnd w:id="24"/>
    </w:p>
    <w:p w:rsidR="00D87203" w:rsidRPr="00CB396C" w:rsidRDefault="00D87203" w:rsidP="00D87203">
      <w:pPr>
        <w:spacing w:before="120" w:line="360" w:lineRule="auto"/>
        <w:ind w:firstLine="567"/>
        <w:jc w:val="both"/>
        <w:rPr>
          <w:rFonts w:ascii="GHEA Grapalat" w:eastAsia="GHEA Grapalat" w:hAnsi="GHEA Grapalat" w:cs="GHEA Grapalat"/>
          <w:b/>
          <w:sz w:val="22"/>
          <w:szCs w:val="22"/>
          <w:lang w:val="hy-AM"/>
        </w:rPr>
      </w:pPr>
      <w:r w:rsidRPr="00CB396C">
        <w:rPr>
          <w:rFonts w:ascii="GHEA Grapalat" w:eastAsia="GHEA Grapalat" w:hAnsi="GHEA Grapalat" w:cs="GHEA Grapalat"/>
          <w:sz w:val="22"/>
          <w:szCs w:val="22"/>
          <w:lang w:val="hy-AM"/>
        </w:rPr>
        <w:t>2023 թվականի</w:t>
      </w:r>
      <w:r w:rsidR="007A3AAA" w:rsidRPr="00CB396C">
        <w:rPr>
          <w:rFonts w:ascii="GHEA Grapalat" w:eastAsia="GHEA Grapalat" w:hAnsi="GHEA Grapalat" w:cs="GHEA Grapalat"/>
          <w:sz w:val="22"/>
          <w:szCs w:val="22"/>
          <w:lang w:val="hy-AM"/>
        </w:rPr>
        <w:t xml:space="preserve"> </w:t>
      </w:r>
      <w:r w:rsidR="007A3AAA" w:rsidRPr="00146D21">
        <w:rPr>
          <w:rFonts w:ascii="GHEA Grapalat" w:eastAsia="GHEA Grapalat" w:hAnsi="GHEA Grapalat" w:cs="GHEA Grapalat"/>
          <w:sz w:val="22"/>
          <w:szCs w:val="22"/>
          <w:lang w:val="hy-AM"/>
        </w:rPr>
        <w:t>առաջ</w:t>
      </w:r>
      <w:r w:rsidRPr="00CB396C">
        <w:rPr>
          <w:rFonts w:ascii="GHEA Grapalat" w:eastAsia="GHEA Grapalat" w:hAnsi="GHEA Grapalat" w:cs="GHEA Grapalat"/>
          <w:sz w:val="22"/>
          <w:szCs w:val="22"/>
          <w:lang w:val="hy-AM"/>
        </w:rPr>
        <w:t>ին եռամսյակի ընթացքում գնաճի տեմպերը կտրուկ դանդաղել են՝ մտնելով ԿԲ թիրախային միջակայք, որի պայմաններում ԿԲ-ն անփոփոխ է թողել քաղաքականության տոկոսադրույքը։</w:t>
      </w:r>
      <w:r w:rsidR="006E27DC" w:rsidRPr="00CB396C">
        <w:rPr>
          <w:rFonts w:ascii="GHEA Grapalat" w:eastAsia="GHEA Grapalat" w:hAnsi="GHEA Grapalat" w:cs="GHEA Grapalat"/>
          <w:sz w:val="22"/>
          <w:szCs w:val="22"/>
          <w:lang w:val="hy-AM"/>
        </w:rPr>
        <w:t xml:space="preserve"> </w:t>
      </w:r>
      <w:r w:rsidRPr="00CB396C">
        <w:rPr>
          <w:rFonts w:ascii="GHEA Grapalat" w:eastAsia="GHEA Grapalat" w:hAnsi="GHEA Grapalat" w:cs="GHEA Grapalat"/>
          <w:sz w:val="22"/>
          <w:szCs w:val="22"/>
          <w:lang w:val="hy-AM"/>
        </w:rPr>
        <w:t xml:space="preserve">Գնաճի տեմպերի զգալի դանդաղումը պայմանավորվել է արտաքին հատվածից գնաճային ճնշումների թուլացման, նախորդ տարվա և եռամսյակի ընթացքում փոխարժեքի արժևորման, ինչպես նաև իրականացված հետևողական զսպող դրամավարկային քաղաքականության ազդեցությամբ՝ միաժամանակ օժանդակություն ստանալով նախորդ տարվա գների բարձր բազայի գործոնից, որոնց, սակայն, որոշակիորեն հակակշռել է պահպանվող բարձր </w:t>
      </w:r>
      <w:r w:rsidRPr="00CB396C">
        <w:rPr>
          <w:rFonts w:ascii="GHEA Grapalat" w:eastAsia="GHEA Grapalat" w:hAnsi="GHEA Grapalat" w:cs="GHEA Grapalat"/>
          <w:sz w:val="22"/>
          <w:szCs w:val="22"/>
          <w:lang w:val="hy-AM"/>
        </w:rPr>
        <w:lastRenderedPageBreak/>
        <w:t>պահանջարկը։ Արդյունքում</w:t>
      </w:r>
      <w:r w:rsidR="007A3AAA" w:rsidRPr="00CB396C">
        <w:rPr>
          <w:rFonts w:ascii="GHEA Grapalat" w:eastAsia="GHEA Grapalat" w:hAnsi="GHEA Grapalat" w:cs="GHEA Grapalat"/>
          <w:sz w:val="22"/>
          <w:szCs w:val="22"/>
          <w:lang w:val="hy-AM"/>
        </w:rPr>
        <w:t xml:space="preserve"> 12</w:t>
      </w:r>
      <w:r w:rsidR="007A3AAA" w:rsidRPr="00146D21">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ամսյա գնաճը մարտին կազմել է 5.4%` գտնվելով ԿԲ թիրախային միջակայքի վերին հատվածում, իսկ միջին գնաճը առաջին եռամսյակում՝ 7.2%:</w:t>
      </w:r>
      <w:r w:rsidR="006E27DC" w:rsidRPr="00CB396C">
        <w:rPr>
          <w:rFonts w:ascii="GHEA Grapalat" w:eastAsia="GHEA Grapalat" w:hAnsi="GHEA Grapalat" w:cs="GHEA Grapalat"/>
          <w:b/>
          <w:sz w:val="22"/>
          <w:szCs w:val="22"/>
          <w:lang w:val="hy-AM"/>
        </w:rPr>
        <w:t xml:space="preserve"> </w:t>
      </w:r>
    </w:p>
    <w:p w:rsidR="007A3AAA" w:rsidRPr="00CB396C" w:rsidRDefault="007A3AAA" w:rsidP="00D87203">
      <w:pPr>
        <w:spacing w:before="120" w:line="360" w:lineRule="auto"/>
        <w:ind w:firstLine="567"/>
        <w:jc w:val="both"/>
        <w:rPr>
          <w:rFonts w:ascii="GHEA Grapalat" w:eastAsia="GHEA Grapalat" w:hAnsi="GHEA Grapalat" w:cs="GHEA Grapalat"/>
          <w:sz w:val="22"/>
          <w:szCs w:val="22"/>
          <w:lang w:val="hy-AM"/>
        </w:rPr>
      </w:pPr>
    </w:p>
    <w:p w:rsidR="00D87203" w:rsidRPr="00CB396C" w:rsidRDefault="00D87203" w:rsidP="00BB6A15">
      <w:pPr>
        <w:pStyle w:val="a"/>
        <w:rPr>
          <w:lang w:val="hy-AM"/>
        </w:rPr>
      </w:pPr>
      <w:r w:rsidRPr="00CB396C">
        <w:rPr>
          <w:lang w:val="hy-AM"/>
        </w:rPr>
        <w:t>Գնաճի տեմպերը և դրամավարկային քաղաքականությունը 2018թ</w:t>
      </w:r>
      <w:r w:rsidRPr="00CB396C">
        <w:rPr>
          <w:rFonts w:ascii="Cambria Math" w:hAnsi="Cambria Math" w:cs="Cambria Math"/>
          <w:lang w:val="hy-AM"/>
        </w:rPr>
        <w:t>․</w:t>
      </w:r>
      <w:r w:rsidRPr="00CB396C">
        <w:rPr>
          <w:rFonts w:cs="Cambria Math"/>
          <w:lang w:val="hy-AM"/>
        </w:rPr>
        <w:t xml:space="preserve">-ից </w:t>
      </w:r>
      <w:r w:rsidRPr="00CB396C">
        <w:rPr>
          <w:lang w:val="hy-AM"/>
        </w:rPr>
        <w:t>2023թ</w:t>
      </w:r>
      <w:r w:rsidR="0075180C" w:rsidRPr="00146D21">
        <w:rPr>
          <w:lang w:val="hy-AM"/>
        </w:rPr>
        <w:t>.</w:t>
      </w:r>
      <w:r w:rsidR="006E27DC" w:rsidRPr="00CB396C">
        <w:rPr>
          <w:rFonts w:eastAsia="MS Mincho" w:cs="MS Mincho"/>
          <w:lang w:val="hy-AM"/>
        </w:rPr>
        <w:t xml:space="preserve"> </w:t>
      </w:r>
      <w:r w:rsidRPr="00CB396C">
        <w:rPr>
          <w:rFonts w:eastAsia="MS Mincho" w:cs="MS Mincho"/>
          <w:lang w:val="hy-AM"/>
        </w:rPr>
        <w:t>մարտ</w:t>
      </w:r>
      <w:r w:rsidRPr="00CB396C">
        <w:rPr>
          <w:lang w:val="hy-AM"/>
        </w:rPr>
        <w:t>, %</w:t>
      </w:r>
    </w:p>
    <w:p w:rsidR="00D87203" w:rsidRPr="00CB396C" w:rsidRDefault="00D87203" w:rsidP="00D87203">
      <w:pPr>
        <w:spacing w:line="360" w:lineRule="auto"/>
        <w:jc w:val="both"/>
        <w:rPr>
          <w:rFonts w:ascii="GHEA Grapalat" w:eastAsia="GHEA Grapalat" w:hAnsi="GHEA Grapalat" w:cs="GHEA Grapalat"/>
          <w:sz w:val="22"/>
          <w:szCs w:val="22"/>
        </w:rPr>
      </w:pPr>
      <w:r w:rsidRPr="00CB396C">
        <w:rPr>
          <w:rFonts w:ascii="GHEA Grapalat" w:eastAsia="GHEA Grapalat" w:hAnsi="GHEA Grapalat" w:cs="GHEA Grapalat"/>
          <w:noProof/>
          <w:sz w:val="22"/>
          <w:szCs w:val="22"/>
        </w:rPr>
        <w:drawing>
          <wp:inline distT="0" distB="0" distL="0" distR="0" wp14:anchorId="04B59167" wp14:editId="4497C627">
            <wp:extent cx="6678930" cy="2600077"/>
            <wp:effectExtent l="0" t="0" r="762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7203" w:rsidRPr="00CB396C" w:rsidRDefault="00D87203" w:rsidP="00D87203">
      <w:pPr>
        <w:spacing w:after="120" w:line="360" w:lineRule="auto"/>
        <w:jc w:val="both"/>
        <w:rPr>
          <w:rFonts w:ascii="GHEA Grapalat" w:eastAsia="GHEA Grapalat" w:hAnsi="GHEA Grapalat" w:cs="GHEA Grapalat"/>
          <w:i/>
          <w:iCs/>
          <w:sz w:val="22"/>
          <w:szCs w:val="22"/>
        </w:rPr>
      </w:pPr>
      <w:r w:rsidRPr="00CB396C">
        <w:rPr>
          <w:rFonts w:ascii="GHEA Grapalat" w:eastAsia="GHEA Grapalat" w:hAnsi="GHEA Grapalat" w:cs="GHEA Grapalat"/>
          <w:i/>
          <w:iCs/>
          <w:color w:val="000000"/>
          <w:sz w:val="18"/>
          <w:szCs w:val="18"/>
        </w:rPr>
        <w:t>Աղբյուրը՝ ՀՀ ԿԲ</w:t>
      </w:r>
    </w:p>
    <w:p w:rsidR="0075180C" w:rsidRPr="00CB396C" w:rsidRDefault="0075180C" w:rsidP="00D87203">
      <w:pPr>
        <w:spacing w:line="360" w:lineRule="auto"/>
        <w:ind w:firstLine="567"/>
        <w:jc w:val="both"/>
        <w:rPr>
          <w:rFonts w:ascii="GHEA Grapalat" w:hAnsi="GHEA Grapalat" w:cs="GHEA Grapalat"/>
          <w:sz w:val="22"/>
          <w:szCs w:val="22"/>
        </w:rPr>
      </w:pPr>
    </w:p>
    <w:p w:rsidR="00D87203" w:rsidRPr="00CB396C" w:rsidRDefault="00D87203" w:rsidP="00D87203">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Միջին գնաճին առավելապես նպաստել է «Սննդամթերք և ոչ ալկոհոլային խմիչքներ» ապրանքախմբում արձանագրված 8.1% գների աճը (նպաստումը գնաճին` 3.0 տոկոսային կետ)՝ հիմնականում պայմանավորված առաջին անհրաժեշտության պարենային ապրանքների (միս, հացաբուլկեղեն և ձավարեղեն, մրգեր, կաթնամթերք և այլն) գների աճով: «Ալկոհոլային խմիչքներ, ծխախոտային արտադրատեսակներ» խմբում արձանագրվել է 9</w:t>
      </w:r>
      <w:r w:rsidRPr="00CB396C">
        <w:rPr>
          <w:rFonts w:ascii="GHEA Grapalat" w:eastAsia="MS Mincho" w:hAnsi="GHEA Grapalat" w:cs="MS Mincho"/>
          <w:sz w:val="22"/>
          <w:szCs w:val="22"/>
        </w:rPr>
        <w:t>.1</w:t>
      </w:r>
      <w:r w:rsidRPr="00CB396C">
        <w:rPr>
          <w:rFonts w:ascii="GHEA Grapalat" w:hAnsi="GHEA Grapalat" w:cs="GHEA Grapalat"/>
          <w:sz w:val="22"/>
          <w:szCs w:val="22"/>
        </w:rPr>
        <w:t>% գնաճ (նպաստումը գնաճին` 0.4 տոկոսային կետ), իսկ «Ոչ պարենային ապրանքների» խմբում արձանագրվել է 5.4% գնաճ (նպաստումը գնաճին` 1.2 տոկոսային կետ), ինչը, ի թիվս այլ գործոնների, հիմնականում պայմանավորված է հագուստի և կոշիկի, կենցաղային ապրանքների, դեղագործական ապրանքների գների աճով։ Բնակչությանը մատուցված ծառայությունների գծով արձանագրվել է 6.9% գնաճ (նպաստումը գնաճին` 2.5 տոկոսային կետ), ինչը հիմնականում պայմանավորված է եղել բնակարանների վարձավճարների, տրանսպորտի, առողջապահական</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 xml:space="preserve">ծառայությունների </w:t>
      </w:r>
      <w:r w:rsidR="00AB3ADA" w:rsidRPr="00CB396C">
        <w:rPr>
          <w:rFonts w:ascii="GHEA Grapalat" w:hAnsi="GHEA Grapalat" w:cs="GHEA Grapalat"/>
          <w:sz w:val="22"/>
          <w:szCs w:val="22"/>
        </w:rPr>
        <w:t>սակագների աճերով։</w:t>
      </w:r>
    </w:p>
    <w:p w:rsidR="00D87203" w:rsidRPr="00CB396C" w:rsidRDefault="00D87203" w:rsidP="00BB6A15">
      <w:pPr>
        <w:pStyle w:val="a"/>
      </w:pPr>
      <w:r w:rsidRPr="00CB396C">
        <w:lastRenderedPageBreak/>
        <w:t>Գնաճի նպաստումները խոշոր ապրանքախմբերով, տոկոսային կետ</w:t>
      </w:r>
    </w:p>
    <w:p w:rsidR="00D87203" w:rsidRPr="00CB396C" w:rsidRDefault="00D87203" w:rsidP="00D87203">
      <w:pPr>
        <w:spacing w:after="120"/>
        <w:rPr>
          <w:rFonts w:ascii="GHEA Grapalat" w:hAnsi="GHEA Grapalat" w:cs="Sylfaen"/>
          <w:b/>
          <w:sz w:val="22"/>
          <w:szCs w:val="22"/>
          <w:lang w:eastAsia="x-none"/>
        </w:rPr>
      </w:pPr>
      <w:r w:rsidRPr="00CB396C">
        <w:rPr>
          <w:rFonts w:ascii="GHEA Grapalat" w:hAnsi="GHEA Grapalat" w:cs="Sylfaen"/>
          <w:b/>
          <w:noProof/>
          <w:szCs w:val="22"/>
        </w:rPr>
        <w:drawing>
          <wp:inline distT="0" distB="0" distL="0" distR="0" wp14:anchorId="0D99A6AE" wp14:editId="5A9C12E3">
            <wp:extent cx="3171825" cy="22764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B396C">
        <w:rPr>
          <w:rFonts w:ascii="GHEA Grapalat" w:hAnsi="GHEA Grapalat" w:cs="Sylfaen"/>
          <w:b/>
          <w:noProof/>
          <w:szCs w:val="22"/>
        </w:rPr>
        <w:drawing>
          <wp:inline distT="0" distB="0" distL="0" distR="0" wp14:anchorId="308D78B7" wp14:editId="3E5CCDB0">
            <wp:extent cx="3171825" cy="22764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B396C">
        <w:rPr>
          <w:rFonts w:ascii="GHEA Grapalat" w:hAnsi="GHEA Grapalat" w:cs="Sylfaen"/>
          <w:b/>
          <w:noProof/>
          <w:szCs w:val="22"/>
        </w:rPr>
        <w:drawing>
          <wp:inline distT="0" distB="0" distL="0" distR="0" wp14:anchorId="094B9E2D" wp14:editId="34FFD188">
            <wp:extent cx="6362700" cy="5810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7203" w:rsidRPr="00CB396C" w:rsidRDefault="00D87203" w:rsidP="00D87203">
      <w:pPr>
        <w:spacing w:after="120"/>
        <w:rPr>
          <w:rFonts w:ascii="GHEA Grapalat" w:eastAsia="GHEA Grapalat" w:hAnsi="GHEA Grapalat" w:cs="GHEA Grapalat"/>
          <w:i/>
          <w:iCs/>
          <w:color w:val="000000"/>
          <w:sz w:val="18"/>
          <w:szCs w:val="18"/>
        </w:rPr>
      </w:pPr>
      <w:r w:rsidRPr="00CB396C">
        <w:rPr>
          <w:rFonts w:ascii="GHEA Grapalat" w:eastAsia="GHEA Grapalat" w:hAnsi="GHEA Grapalat" w:cs="GHEA Grapalat"/>
          <w:i/>
          <w:iCs/>
          <w:color w:val="000000"/>
          <w:sz w:val="18"/>
          <w:szCs w:val="18"/>
        </w:rPr>
        <w:t>Աղբյուրը՝ ՀՀ ՎԿ և ՀՀ ՖՆ հաշվարկներ</w:t>
      </w:r>
    </w:p>
    <w:p w:rsidR="00AB3ADA" w:rsidRPr="00CB396C" w:rsidRDefault="00AB3ADA" w:rsidP="0093694B">
      <w:pPr>
        <w:spacing w:after="120"/>
        <w:ind w:firstLine="720"/>
        <w:jc w:val="both"/>
        <w:rPr>
          <w:rFonts w:ascii="GHEA Grapalat" w:eastAsia="GHEA Grapalat" w:hAnsi="GHEA Grapalat" w:cs="GHEA Grapalat"/>
          <w:iCs/>
          <w:color w:val="000000"/>
          <w:sz w:val="22"/>
          <w:szCs w:val="18"/>
        </w:rPr>
      </w:pPr>
    </w:p>
    <w:p w:rsidR="00D87203" w:rsidRPr="00CB396C" w:rsidRDefault="00D87203" w:rsidP="00CB2150">
      <w:pPr>
        <w:spacing w:line="360" w:lineRule="auto"/>
        <w:ind w:firstLine="567"/>
        <w:jc w:val="both"/>
        <w:rPr>
          <w:rFonts w:ascii="GHEA Grapalat" w:eastAsia="GHEA Grapalat" w:hAnsi="GHEA Grapalat" w:cs="GHEA Grapalat"/>
          <w:iCs/>
          <w:color w:val="000000"/>
          <w:sz w:val="22"/>
          <w:szCs w:val="18"/>
        </w:rPr>
      </w:pPr>
      <w:r w:rsidRPr="00CB396C">
        <w:rPr>
          <w:rFonts w:ascii="GHEA Grapalat" w:eastAsia="GHEA Grapalat" w:hAnsi="GHEA Grapalat" w:cs="GHEA Grapalat"/>
          <w:iCs/>
          <w:color w:val="000000"/>
          <w:sz w:val="22"/>
          <w:szCs w:val="18"/>
        </w:rPr>
        <w:t>2023</w:t>
      </w:r>
      <w:r w:rsidR="00AB3ADA" w:rsidRPr="00CB396C">
        <w:rPr>
          <w:rFonts w:ascii="GHEA Grapalat" w:eastAsia="GHEA Grapalat" w:hAnsi="GHEA Grapalat" w:cs="GHEA Grapalat"/>
          <w:iCs/>
          <w:color w:val="000000"/>
          <w:sz w:val="22"/>
          <w:szCs w:val="18"/>
        </w:rPr>
        <w:t xml:space="preserve"> </w:t>
      </w:r>
      <w:r w:rsidRPr="00CB396C">
        <w:rPr>
          <w:rFonts w:ascii="GHEA Grapalat" w:eastAsia="GHEA Grapalat" w:hAnsi="GHEA Grapalat" w:cs="GHEA Grapalat"/>
          <w:iCs/>
          <w:color w:val="000000"/>
          <w:sz w:val="22"/>
          <w:szCs w:val="18"/>
        </w:rPr>
        <w:t>թ</w:t>
      </w:r>
      <w:r w:rsidR="00AB3ADA" w:rsidRPr="00CB396C">
        <w:rPr>
          <w:rFonts w:ascii="GHEA Grapalat" w:eastAsia="GHEA Grapalat" w:hAnsi="GHEA Grapalat" w:cs="GHEA Grapalat"/>
          <w:iCs/>
          <w:color w:val="000000"/>
          <w:sz w:val="22"/>
          <w:szCs w:val="18"/>
        </w:rPr>
        <w:t>վական</w:t>
      </w:r>
      <w:r w:rsidRPr="00CB396C">
        <w:rPr>
          <w:rFonts w:ascii="GHEA Grapalat" w:eastAsia="GHEA Grapalat" w:hAnsi="GHEA Grapalat" w:cs="GHEA Grapalat"/>
          <w:iCs/>
          <w:color w:val="000000"/>
          <w:sz w:val="22"/>
          <w:szCs w:val="18"/>
        </w:rPr>
        <w:t>ի առաջին եռամսյակում ԿԲ-ն ձեռնպահ է մնացել քաղաքականության տոկոսադրույքի փոփոխություններից՝ համարելով, որ քաղաքականության դիրք</w:t>
      </w:r>
      <w:r w:rsidR="00AB3ADA" w:rsidRPr="00CB396C">
        <w:rPr>
          <w:rFonts w:ascii="GHEA Grapalat" w:eastAsia="GHEA Grapalat" w:hAnsi="GHEA Grapalat" w:cs="GHEA Grapalat"/>
          <w:iCs/>
          <w:color w:val="000000"/>
          <w:sz w:val="22"/>
          <w:szCs w:val="18"/>
        </w:rPr>
        <w:t>ն</w:t>
      </w:r>
      <w:r w:rsidRPr="00CB396C">
        <w:rPr>
          <w:rFonts w:ascii="GHEA Grapalat" w:eastAsia="GHEA Grapalat" w:hAnsi="GHEA Grapalat" w:cs="GHEA Grapalat"/>
          <w:iCs/>
          <w:color w:val="000000"/>
          <w:sz w:val="22"/>
          <w:szCs w:val="18"/>
        </w:rPr>
        <w:t xml:space="preserve"> </w:t>
      </w:r>
      <w:r w:rsidRPr="00CB396C">
        <w:rPr>
          <w:rFonts w:ascii="GHEA Grapalat" w:eastAsia="GHEA Grapalat" w:hAnsi="GHEA Grapalat" w:cs="GHEA Grapalat"/>
          <w:iCs/>
          <w:sz w:val="22"/>
          <w:szCs w:val="18"/>
        </w:rPr>
        <w:t xml:space="preserve">արդեն բավարար </w:t>
      </w:r>
      <w:r w:rsidRPr="00CB396C">
        <w:rPr>
          <w:rFonts w:ascii="GHEA Grapalat" w:eastAsia="GHEA Grapalat" w:hAnsi="GHEA Grapalat" w:cs="GHEA Grapalat"/>
          <w:iCs/>
          <w:color w:val="000000"/>
          <w:sz w:val="22"/>
          <w:szCs w:val="18"/>
        </w:rPr>
        <w:t xml:space="preserve">զսպող է կանխատեսվող </w:t>
      </w:r>
      <w:r w:rsidRPr="00CB396C">
        <w:rPr>
          <w:rFonts w:ascii="GHEA Grapalat" w:hAnsi="GHEA Grapalat" w:cs="GHEA Grapalat"/>
          <w:sz w:val="22"/>
          <w:szCs w:val="22"/>
        </w:rPr>
        <w:t>ժամանակահատվածում</w:t>
      </w:r>
      <w:r w:rsidRPr="00CB396C">
        <w:rPr>
          <w:rFonts w:ascii="GHEA Grapalat" w:eastAsia="GHEA Grapalat" w:hAnsi="GHEA Grapalat" w:cs="GHEA Grapalat"/>
          <w:iCs/>
          <w:color w:val="000000"/>
          <w:sz w:val="22"/>
          <w:szCs w:val="18"/>
        </w:rPr>
        <w:t xml:space="preserve"> գնաճը նվազեցնելու թիրախային միջակայք։ Արդյունքում ֆինանսական շուկայում պետական պարտատոմսերի տոկոսադրույքները նախորդ տարվա ընթացքում գրանցած աճից հետո սկսել են նվազել, իսկ վարկերի և ավանդների </w:t>
      </w:r>
      <w:r w:rsidR="0093694B" w:rsidRPr="00CB396C">
        <w:rPr>
          <w:rFonts w:ascii="GHEA Grapalat" w:eastAsia="GHEA Grapalat" w:hAnsi="GHEA Grapalat" w:cs="GHEA Grapalat"/>
          <w:iCs/>
          <w:color w:val="000000"/>
          <w:sz w:val="22"/>
          <w:szCs w:val="18"/>
        </w:rPr>
        <w:t xml:space="preserve">տոկոսադրույքներն </w:t>
      </w:r>
      <w:r w:rsidRPr="00CB396C">
        <w:rPr>
          <w:rFonts w:ascii="GHEA Grapalat" w:eastAsia="GHEA Grapalat" w:hAnsi="GHEA Grapalat" w:cs="GHEA Grapalat"/>
          <w:iCs/>
          <w:color w:val="000000"/>
          <w:sz w:val="22"/>
          <w:szCs w:val="18"/>
        </w:rPr>
        <w:t xml:space="preserve">ընդհանուր առմամբ շարունակել են պահպանվել իրենց միջին մակարդակների շրջակայքում։ </w:t>
      </w:r>
    </w:p>
    <w:p w:rsidR="00AB3ADA" w:rsidRPr="00CB396C" w:rsidRDefault="00AB3ADA" w:rsidP="00D87203">
      <w:pPr>
        <w:spacing w:after="120" w:line="360" w:lineRule="auto"/>
        <w:ind w:firstLine="720"/>
        <w:jc w:val="both"/>
        <w:rPr>
          <w:rFonts w:ascii="GHEA Grapalat" w:eastAsia="GHEA Grapalat" w:hAnsi="GHEA Grapalat" w:cs="GHEA Grapalat"/>
          <w:iCs/>
          <w:color w:val="000000"/>
          <w:sz w:val="22"/>
          <w:szCs w:val="18"/>
        </w:rPr>
      </w:pPr>
    </w:p>
    <w:p w:rsidR="00D87203" w:rsidRPr="00CB396C" w:rsidRDefault="00D87203" w:rsidP="00BB6A15">
      <w:pPr>
        <w:pStyle w:val="a"/>
      </w:pPr>
      <w:r w:rsidRPr="00CB396C">
        <w:t>ՀՀ դրամով տոկոսադրույքների միտումները ՀՀ ֆինանսական շուկաներում, %</w:t>
      </w:r>
    </w:p>
    <w:p w:rsidR="00D87203" w:rsidRPr="00CB396C" w:rsidRDefault="00D87203" w:rsidP="00D87203">
      <w:pPr>
        <w:spacing w:line="360" w:lineRule="auto"/>
        <w:rPr>
          <w:rFonts w:ascii="GHEA Grapalat" w:hAnsi="GHEA Grapalat" w:cs="GHEA Grapalat"/>
          <w:sz w:val="22"/>
          <w:szCs w:val="22"/>
        </w:rPr>
      </w:pPr>
      <w:r w:rsidRPr="00CB396C">
        <w:rPr>
          <w:rFonts w:ascii="GHEA Grapalat" w:hAnsi="GHEA Grapalat" w:cs="GHEA Grapalat"/>
          <w:noProof/>
          <w:sz w:val="22"/>
          <w:szCs w:val="22"/>
        </w:rPr>
        <w:drawing>
          <wp:inline distT="0" distB="0" distL="0" distR="0" wp14:anchorId="55161630" wp14:editId="4B5E09BA">
            <wp:extent cx="6324600" cy="23926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7203" w:rsidRPr="00CB396C" w:rsidRDefault="00D87203" w:rsidP="00D87203">
      <w:pPr>
        <w:spacing w:after="120" w:line="360" w:lineRule="auto"/>
        <w:rPr>
          <w:rFonts w:ascii="GHEA Grapalat" w:hAnsi="GHEA Grapalat" w:cs="GHEA Grapalat"/>
          <w:i/>
          <w:iCs/>
          <w:sz w:val="22"/>
          <w:szCs w:val="22"/>
        </w:rPr>
      </w:pPr>
      <w:r w:rsidRPr="00CB396C">
        <w:rPr>
          <w:rFonts w:ascii="GHEA Grapalat" w:hAnsi="GHEA Grapalat"/>
          <w:i/>
          <w:iCs/>
          <w:sz w:val="18"/>
          <w:szCs w:val="18"/>
        </w:rPr>
        <w:t>Աղբյուրը՝ ՀՀ ԿԲ</w:t>
      </w:r>
    </w:p>
    <w:p w:rsidR="00563135" w:rsidRPr="00CB396C" w:rsidRDefault="00563135" w:rsidP="00773FC6">
      <w:pPr>
        <w:spacing w:line="360" w:lineRule="auto"/>
        <w:ind w:firstLine="567"/>
        <w:jc w:val="both"/>
        <w:rPr>
          <w:rFonts w:ascii="GHEA Grapalat" w:hAnsi="GHEA Grapalat" w:cs="GHEA Grapalat"/>
          <w:sz w:val="22"/>
          <w:szCs w:val="22"/>
          <w:lang w:val="hy-AM"/>
        </w:rPr>
      </w:pPr>
    </w:p>
    <w:p w:rsidR="00563135" w:rsidRPr="00CB396C" w:rsidRDefault="00563135" w:rsidP="00563135">
      <w:pPr>
        <w:pStyle w:val="Heading6"/>
        <w:ind w:left="567"/>
        <w:rPr>
          <w:rFonts w:ascii="GHEA Grapalat" w:hAnsi="GHEA Grapalat"/>
          <w:b/>
          <w:sz w:val="22"/>
          <w:szCs w:val="22"/>
          <w:u w:val="none"/>
          <w:lang w:val="en-US"/>
        </w:rPr>
      </w:pPr>
      <w:bookmarkStart w:id="25" w:name="_Toc71311885"/>
      <w:r w:rsidRPr="00CB396C">
        <w:rPr>
          <w:rFonts w:ascii="GHEA Grapalat" w:hAnsi="GHEA Grapalat"/>
          <w:b/>
          <w:sz w:val="22"/>
          <w:szCs w:val="22"/>
          <w:u w:val="none"/>
        </w:rPr>
        <w:t>Արտաքին առևտուր</w:t>
      </w:r>
      <w:bookmarkEnd w:id="25"/>
      <w:r w:rsidR="00D87203" w:rsidRPr="00CB396C">
        <w:rPr>
          <w:rFonts w:ascii="GHEA Grapalat" w:hAnsi="GHEA Grapalat"/>
          <w:b/>
          <w:sz w:val="22"/>
          <w:szCs w:val="22"/>
          <w:u w:val="none"/>
          <w:lang w:val="en-US"/>
        </w:rPr>
        <w:t xml:space="preserve"> և զբոսաշրջություն</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Արտաքին առևտուր</w:t>
      </w:r>
      <w:r w:rsidRPr="00CB396C">
        <w:rPr>
          <w:rFonts w:ascii="GHEA Grapalat" w:eastAsia="GHEA Grapalat" w:hAnsi="GHEA Grapalat" w:cs="GHEA Grapalat"/>
          <w:b/>
          <w:sz w:val="22"/>
          <w:szCs w:val="22"/>
        </w:rPr>
        <w:t xml:space="preserve"> (դոլարային արտահայտությամբ)</w:t>
      </w:r>
      <w:r w:rsidRPr="00CB396C">
        <w:rPr>
          <w:rFonts w:ascii="GHEA Grapalat" w:eastAsia="GHEA Grapalat" w:hAnsi="GHEA Grapalat" w:cs="GHEA Grapalat"/>
          <w:b/>
          <w:sz w:val="22"/>
          <w:szCs w:val="22"/>
          <w:vertAlign w:val="superscript"/>
        </w:rPr>
        <w:footnoteReference w:id="13"/>
      </w:r>
      <w:r w:rsidRPr="00CB396C">
        <w:rPr>
          <w:rFonts w:ascii="GHEA Grapalat" w:eastAsia="GHEA Grapalat" w:hAnsi="GHEA Grapalat" w:cs="GHEA Grapalat"/>
          <w:b/>
          <w:i/>
          <w:sz w:val="22"/>
          <w:szCs w:val="22"/>
        </w:rPr>
        <w:t>:</w:t>
      </w:r>
      <w:r w:rsidRPr="00CB396C">
        <w:rPr>
          <w:rFonts w:ascii="GHEA Grapalat" w:eastAsia="GHEA Grapalat" w:hAnsi="GHEA Grapalat" w:cs="GHEA Grapalat"/>
          <w:sz w:val="22"/>
          <w:szCs w:val="22"/>
        </w:rPr>
        <w:t xml:space="preserve"> 2023 թվականի առաջին եռամսյակում գրանցվել է արտաքին ապրանքաշրջանառության կրկնապատիկ աճ՝ պայմանավորված տնտեսական բարձր ակտիվությամբ և արտաքին որոշ շուկաներում ՀՀ ապրանքների նկատմամբ պահանջարկի ավելացմամբ։ Արտաքին ապրանքաշրջանառությունը 2023 թվականի առաջին եռամսյակում կազմել է 4248</w:t>
      </w:r>
      <w:r w:rsidRPr="00CB396C">
        <w:rPr>
          <w:rFonts w:ascii="Cambria Math" w:eastAsia="GHEA Grapalat" w:hAnsi="Cambria Math" w:cs="Cambria Math"/>
          <w:sz w:val="22"/>
          <w:szCs w:val="22"/>
        </w:rPr>
        <w:t>․</w:t>
      </w:r>
      <w:r w:rsidRPr="00CB396C">
        <w:rPr>
          <w:rFonts w:ascii="GHEA Grapalat" w:eastAsia="GHEA Grapalat" w:hAnsi="GHEA Grapalat" w:cs="GHEA Grapalat"/>
          <w:sz w:val="22"/>
          <w:szCs w:val="22"/>
        </w:rPr>
        <w:t xml:space="preserve">1 մլն ԱՄՆ դոլար` նախորդ տարվա նույն ժամանակահատվածի </w:t>
      </w:r>
      <w:r w:rsidR="0093694B" w:rsidRPr="00CB396C">
        <w:rPr>
          <w:rFonts w:ascii="GHEA Grapalat" w:eastAsia="GHEA Grapalat" w:hAnsi="GHEA Grapalat" w:cs="GHEA Grapalat"/>
          <w:sz w:val="22"/>
          <w:szCs w:val="22"/>
        </w:rPr>
        <w:t>նկատմ</w:t>
      </w:r>
      <w:r w:rsidRPr="00CB396C">
        <w:rPr>
          <w:rFonts w:ascii="GHEA Grapalat" w:eastAsia="GHEA Grapalat" w:hAnsi="GHEA Grapalat" w:cs="GHEA Grapalat"/>
          <w:sz w:val="22"/>
          <w:szCs w:val="22"/>
        </w:rPr>
        <w:t>ա</w:t>
      </w:r>
      <w:r w:rsidR="0093694B" w:rsidRPr="00CB396C">
        <w:rPr>
          <w:rFonts w:ascii="GHEA Grapalat" w:eastAsia="GHEA Grapalat" w:hAnsi="GHEA Grapalat" w:cs="GHEA Grapalat"/>
          <w:sz w:val="22"/>
          <w:szCs w:val="22"/>
        </w:rPr>
        <w:t>մ</w:t>
      </w:r>
      <w:r w:rsidRPr="00CB396C">
        <w:rPr>
          <w:rFonts w:ascii="GHEA Grapalat" w:eastAsia="GHEA Grapalat" w:hAnsi="GHEA Grapalat" w:cs="GHEA Grapalat"/>
          <w:sz w:val="22"/>
          <w:szCs w:val="22"/>
        </w:rPr>
        <w:t xml:space="preserve">բ աճելով 2 անգամ։ Հաշվետու ժամանակահատվածում արձանագրվել </w:t>
      </w:r>
      <w:r w:rsidR="0093694B" w:rsidRPr="00CB396C">
        <w:rPr>
          <w:rFonts w:ascii="GHEA Grapalat" w:eastAsia="GHEA Grapalat" w:hAnsi="GHEA Grapalat" w:cs="GHEA Grapalat"/>
          <w:sz w:val="22"/>
          <w:szCs w:val="22"/>
        </w:rPr>
        <w:t>են</w:t>
      </w:r>
      <w:r w:rsidRPr="00CB396C">
        <w:rPr>
          <w:rFonts w:ascii="GHEA Grapalat" w:eastAsia="GHEA Grapalat" w:hAnsi="GHEA Grapalat" w:cs="GHEA Grapalat"/>
          <w:sz w:val="22"/>
          <w:szCs w:val="22"/>
        </w:rPr>
        <w:t xml:space="preserve"> դոլարային արտահայտությամբ արտահանման և ներմուծման երկնիշ աճեր. արտահանումն աճել է 2</w:t>
      </w:r>
      <w:r w:rsidRPr="00CB396C">
        <w:rPr>
          <w:rFonts w:ascii="Cambria Math" w:eastAsia="GHEA Grapalat" w:hAnsi="Cambria Math" w:cs="GHEA Grapalat"/>
          <w:sz w:val="22"/>
          <w:szCs w:val="22"/>
        </w:rPr>
        <w:t>․</w:t>
      </w:r>
      <w:r w:rsidRPr="00CB396C">
        <w:rPr>
          <w:rFonts w:ascii="GHEA Grapalat" w:eastAsia="GHEA Grapalat" w:hAnsi="GHEA Grapalat" w:cs="GHEA Grapalat"/>
          <w:sz w:val="22"/>
          <w:szCs w:val="22"/>
        </w:rPr>
        <w:t>3 անգամ` կազմելով 1664.8 մլն ԱՄՆ դոլար, իսկ ներմուծումը` 89.1%-ով՝ կազմելով 2583.3 մլն ԱՄՆ դոլար: 2023 թվականի առաջին եռամսյակում ապրանքների գծով արտաքին առևտրի բացասական մնացորդը նախորդ տարվա նկատմամբ խորացել է (45.5%-ով) և կազմել -918.5 մլն ԱՄՆ դոլար:</w:t>
      </w:r>
    </w:p>
    <w:p w:rsidR="0093694B" w:rsidRPr="00CB396C" w:rsidRDefault="0093694B" w:rsidP="00D87203">
      <w:pPr>
        <w:spacing w:line="360" w:lineRule="auto"/>
        <w:ind w:firstLine="540"/>
        <w:jc w:val="both"/>
        <w:rPr>
          <w:rFonts w:ascii="GHEA Grapalat" w:eastAsia="GHEA Grapalat" w:hAnsi="GHEA Grapalat" w:cs="GHEA Grapalat"/>
          <w:sz w:val="22"/>
          <w:szCs w:val="22"/>
        </w:rPr>
      </w:pPr>
    </w:p>
    <w:p w:rsidR="00D87203" w:rsidRPr="00CB396C" w:rsidRDefault="00D87203" w:rsidP="00BB6A15">
      <w:pPr>
        <w:pStyle w:val="a"/>
      </w:pPr>
      <w:r w:rsidRPr="00CB396C">
        <w:t>Առևտրային հաշվեկշռի դինամիկան հունվար-մարտ ամիսներին (մլն ԱՄՆ դոլար)</w:t>
      </w:r>
      <w:r w:rsidRPr="00CB396C">
        <w:rPr>
          <w:vertAlign w:val="superscript"/>
        </w:rPr>
        <w:footnoteReference w:id="14"/>
      </w:r>
    </w:p>
    <w:p w:rsidR="00D87203" w:rsidRPr="00CB396C" w:rsidRDefault="00D87203" w:rsidP="00D87203">
      <w:pPr>
        <w:keepNext/>
        <w:spacing w:line="336" w:lineRule="auto"/>
        <w:jc w:val="both"/>
        <w:rPr>
          <w:rFonts w:ascii="GHEA Grapalat" w:eastAsia="GHEA Grapalat" w:hAnsi="GHEA Grapalat" w:cs="GHEA Grapalat"/>
          <w:sz w:val="22"/>
          <w:szCs w:val="22"/>
        </w:rPr>
      </w:pPr>
      <w:r w:rsidRPr="00CB396C">
        <w:rPr>
          <w:rFonts w:ascii="GHEA Grapalat" w:hAnsi="GHEA Grapalat"/>
          <w:noProof/>
        </w:rPr>
        <w:drawing>
          <wp:inline distT="0" distB="0" distL="0" distR="0" wp14:anchorId="71A7F9B0" wp14:editId="5422BBF7">
            <wp:extent cx="6515100" cy="2385060"/>
            <wp:effectExtent l="0" t="0" r="0" b="1524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3E37" w:rsidRPr="00CB396C" w:rsidRDefault="006E3E37" w:rsidP="00CB2150">
      <w:pPr>
        <w:spacing w:line="360" w:lineRule="auto"/>
        <w:ind w:firstLine="567"/>
        <w:jc w:val="both"/>
        <w:rPr>
          <w:rFonts w:ascii="GHEA Grapalat" w:eastAsia="GHEA Grapalat" w:hAnsi="GHEA Grapalat" w:cs="GHEA Grapalat"/>
          <w:b/>
          <w:i/>
          <w:sz w:val="22"/>
          <w:szCs w:val="22"/>
        </w:rPr>
      </w:pP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Արտահանում:</w:t>
      </w:r>
      <w:r w:rsidRPr="00CB396C">
        <w:rPr>
          <w:rFonts w:ascii="GHEA Grapalat" w:eastAsia="GHEA Grapalat" w:hAnsi="GHEA Grapalat" w:cs="GHEA Grapalat"/>
          <w:sz w:val="22"/>
          <w:szCs w:val="22"/>
        </w:rPr>
        <w:t xml:space="preserve"> 2023 թվականի առաջին եռամսյակում ապրանքների արտահանում</w:t>
      </w:r>
      <w:r w:rsidR="006E3E37" w:rsidRPr="00CB396C">
        <w:rPr>
          <w:rFonts w:ascii="GHEA Grapalat" w:eastAsia="GHEA Grapalat" w:hAnsi="GHEA Grapalat" w:cs="GHEA Grapalat"/>
          <w:sz w:val="22"/>
          <w:szCs w:val="22"/>
        </w:rPr>
        <w:t>ն</w:t>
      </w:r>
      <w:r w:rsidRPr="00CB396C">
        <w:rPr>
          <w:rFonts w:ascii="GHEA Grapalat" w:eastAsia="GHEA Grapalat" w:hAnsi="GHEA Grapalat" w:cs="GHEA Grapalat"/>
          <w:sz w:val="22"/>
          <w:szCs w:val="22"/>
        </w:rPr>
        <w:t xml:space="preserve"> աճել է 2</w:t>
      </w:r>
      <w:r w:rsidRPr="00CB396C">
        <w:rPr>
          <w:rFonts w:ascii="Cambria Math" w:eastAsia="GHEA Grapalat" w:hAnsi="Cambria Math" w:cs="Cambria Math"/>
          <w:sz w:val="22"/>
          <w:szCs w:val="22"/>
        </w:rPr>
        <w:t>․</w:t>
      </w:r>
      <w:r w:rsidRPr="00CB396C">
        <w:rPr>
          <w:rFonts w:ascii="GHEA Grapalat" w:eastAsia="GHEA Grapalat" w:hAnsi="GHEA Grapalat" w:cs="GHEA Grapalat"/>
          <w:sz w:val="22"/>
          <w:szCs w:val="22"/>
        </w:rPr>
        <w:t>3 անգամ՝ պայմանավորված արտաքին որոշ շուկաներում (հատկապես՝ ՌԴ-ում) ՀՀ ապրանքների նկատմամբ պահանջարկի աճով, ինչպես նաև արտահանման ներուժի ավելացմամբ։</w:t>
      </w:r>
      <w:r w:rsidR="006E27DC" w:rsidRPr="00CB396C">
        <w:rPr>
          <w:rFonts w:ascii="GHEA Grapalat" w:eastAsia="GHEA Grapalat" w:hAnsi="GHEA Grapalat" w:cs="GHEA Grapalat"/>
          <w:sz w:val="22"/>
          <w:szCs w:val="22"/>
        </w:rPr>
        <w:t xml:space="preserve"> </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Արտահանման</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աճը</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հիմանականում պայմանավորվել է իրական ծավալների շուրջ 76.5% աճով:</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 xml:space="preserve">Աճին ապրանքախմբերի մեծամասնությունը դրական է նպաստել. </w:t>
      </w:r>
      <w:r w:rsidR="006E3E37" w:rsidRPr="00CB396C">
        <w:rPr>
          <w:rFonts w:ascii="GHEA Grapalat" w:eastAsia="GHEA Grapalat" w:hAnsi="GHEA Grapalat" w:cs="GHEA Grapalat"/>
          <w:sz w:val="22"/>
          <w:szCs w:val="22"/>
        </w:rPr>
        <w:t>Մ</w:t>
      </w:r>
      <w:r w:rsidRPr="00CB396C">
        <w:rPr>
          <w:rFonts w:ascii="GHEA Grapalat" w:eastAsia="GHEA Grapalat" w:hAnsi="GHEA Grapalat" w:cs="GHEA Grapalat"/>
          <w:sz w:val="22"/>
          <w:szCs w:val="22"/>
        </w:rPr>
        <w:t>ասնավորապես</w:t>
      </w:r>
      <w:r w:rsidR="006E3E37" w:rsidRPr="00CB396C">
        <w:rPr>
          <w:rFonts w:ascii="GHEA Grapalat" w:eastAsia="GHEA Grapalat" w:hAnsi="GHEA Grapalat" w:cs="GHEA Grapalat"/>
          <w:sz w:val="22"/>
          <w:szCs w:val="22"/>
        </w:rPr>
        <w:t>՝</w:t>
      </w:r>
      <w:r w:rsidRPr="00CB396C">
        <w:rPr>
          <w:rFonts w:ascii="GHEA Grapalat" w:eastAsia="GHEA Grapalat" w:hAnsi="GHEA Grapalat" w:cs="GHEA Grapalat"/>
          <w:sz w:val="22"/>
          <w:szCs w:val="22"/>
        </w:rPr>
        <w:t xml:space="preserve"> դրական են </w:t>
      </w:r>
      <w:r w:rsidRPr="00CB396C">
        <w:rPr>
          <w:rFonts w:ascii="GHEA Grapalat" w:eastAsia="GHEA Grapalat" w:hAnsi="GHEA Grapalat" w:cs="GHEA Grapalat"/>
          <w:sz w:val="22"/>
          <w:szCs w:val="22"/>
        </w:rPr>
        <w:lastRenderedPageBreak/>
        <w:t>նպաստել «Թանկարժեք և կիսաթանկարժեք քարեր, թանկարժեք մետաղներ և դրանցից իրեր» (39.1 տոկոսային կետով), «Մեքենաներ և սարքավորումներ» (34.7 տոկոսային կետով), «Տրանսպորտային միջոցներ» (23.9 տոկոսային կետով), «Պատրաստի սննդի արտադրանք» (9.9 տոկոսային կետով)</w:t>
      </w:r>
      <w:r w:rsidR="006E3E37" w:rsidRPr="00CB396C">
        <w:rPr>
          <w:rFonts w:ascii="GHEA Grapalat" w:eastAsia="GHEA Grapalat" w:hAnsi="GHEA Grapalat" w:cs="GHEA Grapalat"/>
          <w:sz w:val="22"/>
          <w:szCs w:val="22"/>
        </w:rPr>
        <w:t xml:space="preserve"> ապրանքախմբերը</w:t>
      </w:r>
      <w:r w:rsidRPr="00CB396C">
        <w:rPr>
          <w:rFonts w:ascii="GHEA Grapalat" w:eastAsia="GHEA Grapalat" w:hAnsi="GHEA Grapalat" w:cs="GHEA Grapalat"/>
          <w:sz w:val="22"/>
          <w:szCs w:val="22"/>
        </w:rPr>
        <w:t xml:space="preserve">, բացասական նպաստում ունեցած ամենամեծ ապրանքախումբը «Հանքահումքային արտադրանքն» է (8 տոկոսային </w:t>
      </w:r>
      <w:proofErr w:type="gramStart"/>
      <w:r w:rsidRPr="00CB396C">
        <w:rPr>
          <w:rFonts w:ascii="GHEA Grapalat" w:eastAsia="GHEA Grapalat" w:hAnsi="GHEA Grapalat" w:cs="GHEA Grapalat"/>
          <w:sz w:val="22"/>
          <w:szCs w:val="22"/>
        </w:rPr>
        <w:t>կետով)։</w:t>
      </w:r>
      <w:proofErr w:type="gramEnd"/>
    </w:p>
    <w:p w:rsidR="00D87203" w:rsidRPr="00CB396C" w:rsidRDefault="00D87203" w:rsidP="006E3E37">
      <w:pPr>
        <w:spacing w:line="360" w:lineRule="auto"/>
        <w:ind w:firstLine="567"/>
        <w:jc w:val="both"/>
        <w:rPr>
          <w:rFonts w:ascii="GHEA Grapalat" w:eastAsia="GHEA Grapalat" w:hAnsi="GHEA Grapalat" w:cs="GHEA Grapalat"/>
          <w:sz w:val="22"/>
          <w:szCs w:val="22"/>
        </w:rPr>
      </w:pPr>
    </w:p>
    <w:p w:rsidR="00D87203" w:rsidRPr="00CB396C" w:rsidRDefault="00D87203" w:rsidP="00BB6A15">
      <w:pPr>
        <w:pStyle w:val="a"/>
      </w:pPr>
      <w:r w:rsidRPr="00CB396C">
        <w:t>Ապրանքների արտահանման ամսական միտումները 2023 թվականի հունվար- մարտ ամիսներին</w:t>
      </w:r>
    </w:p>
    <w:p w:rsidR="006E3E37" w:rsidRPr="00CB396C" w:rsidRDefault="00D87203" w:rsidP="00D87203">
      <w:pPr>
        <w:keepNext/>
        <w:spacing w:after="120" w:line="276" w:lineRule="auto"/>
        <w:ind w:right="-284"/>
        <w:rPr>
          <w:rFonts w:ascii="GHEA Grapalat" w:eastAsia="GHEA Grapalat" w:hAnsi="GHEA Grapalat" w:cs="GHEA Grapalat"/>
          <w:i/>
          <w:color w:val="000000"/>
          <w:sz w:val="18"/>
          <w:szCs w:val="18"/>
        </w:rPr>
      </w:pPr>
      <w:r w:rsidRPr="00CB396C">
        <w:rPr>
          <w:rFonts w:ascii="GHEA Grapalat" w:hAnsi="GHEA Grapalat"/>
          <w:noProof/>
          <w:sz w:val="22"/>
          <w:szCs w:val="22"/>
        </w:rPr>
        <w:drawing>
          <wp:inline distT="0" distB="0" distL="0" distR="0" wp14:anchorId="5391C347" wp14:editId="19FD5EC0">
            <wp:extent cx="3276000" cy="2232000"/>
            <wp:effectExtent l="0" t="0" r="635" b="165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B396C">
        <w:rPr>
          <w:rFonts w:ascii="GHEA Grapalat" w:eastAsia="Calibri" w:hAnsi="GHEA Grapalat"/>
          <w:i/>
          <w:noProof/>
          <w:sz w:val="22"/>
          <w:szCs w:val="22"/>
        </w:rPr>
        <w:drawing>
          <wp:inline distT="0" distB="0" distL="0" distR="0" wp14:anchorId="2828AB11" wp14:editId="3B37714F">
            <wp:extent cx="3276000" cy="2235600"/>
            <wp:effectExtent l="0" t="0" r="635"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7203" w:rsidRPr="00CB396C" w:rsidRDefault="00D87203" w:rsidP="00D87203">
      <w:pPr>
        <w:keepNext/>
        <w:spacing w:after="120" w:line="276" w:lineRule="auto"/>
        <w:ind w:right="-284"/>
        <w:rPr>
          <w:rFonts w:ascii="GHEA Grapalat" w:eastAsia="GHEA Grapalat" w:hAnsi="GHEA Grapalat" w:cs="GHEA Grapalat"/>
          <w:b/>
          <w:i/>
          <w:sz w:val="22"/>
          <w:szCs w:val="22"/>
        </w:rPr>
      </w:pPr>
      <w:r w:rsidRPr="00CB396C">
        <w:rPr>
          <w:rFonts w:ascii="GHEA Grapalat" w:eastAsia="GHEA Grapalat" w:hAnsi="GHEA Grapalat" w:cs="GHEA Grapalat"/>
          <w:i/>
          <w:color w:val="000000"/>
          <w:sz w:val="18"/>
          <w:szCs w:val="18"/>
        </w:rPr>
        <w:t>Աղբյուրը՝ ՀՀ</w:t>
      </w:r>
      <w:r w:rsidR="006E27DC" w:rsidRPr="00CB396C">
        <w:rPr>
          <w:rFonts w:ascii="GHEA Grapalat" w:eastAsia="GHEA Grapalat" w:hAnsi="GHEA Grapalat" w:cs="GHEA Grapalat"/>
          <w:i/>
          <w:color w:val="000000"/>
          <w:sz w:val="18"/>
          <w:szCs w:val="18"/>
        </w:rPr>
        <w:t xml:space="preserve"> </w:t>
      </w:r>
      <w:r w:rsidRPr="00CB396C">
        <w:rPr>
          <w:rFonts w:ascii="GHEA Grapalat" w:eastAsia="GHEA Grapalat" w:hAnsi="GHEA Grapalat" w:cs="GHEA Grapalat"/>
          <w:i/>
          <w:color w:val="000000"/>
          <w:sz w:val="18"/>
          <w:szCs w:val="18"/>
        </w:rPr>
        <w:t>ՎԿ և ՀՀ ՖՆ հաշվարկներ</w:t>
      </w:r>
    </w:p>
    <w:p w:rsidR="00D87203" w:rsidRPr="00CB396C" w:rsidRDefault="00D87203" w:rsidP="006E3E37">
      <w:pPr>
        <w:spacing w:line="360" w:lineRule="auto"/>
        <w:ind w:firstLine="567"/>
        <w:jc w:val="both"/>
        <w:rPr>
          <w:rFonts w:ascii="GHEA Grapalat" w:eastAsia="GHEA Grapalat" w:hAnsi="GHEA Grapalat" w:cs="GHEA Grapalat"/>
          <w:sz w:val="22"/>
          <w:szCs w:val="22"/>
        </w:rPr>
      </w:pP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Ներմուծում:</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 xml:space="preserve">2023 թվականի առաջին եռամսյակում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2023 </w:t>
      </w:r>
      <w:r w:rsidRPr="00CB396C">
        <w:rPr>
          <w:rFonts w:ascii="GHEA Grapalat" w:hAnsi="GHEA Grapalat" w:cs="GHEA Grapalat"/>
          <w:sz w:val="22"/>
          <w:szCs w:val="22"/>
        </w:rPr>
        <w:t>թվականի</w:t>
      </w:r>
      <w:r w:rsidRPr="00CB396C">
        <w:rPr>
          <w:rFonts w:ascii="GHEA Grapalat" w:eastAsia="GHEA Grapalat" w:hAnsi="GHEA Grapalat" w:cs="GHEA Grapalat"/>
          <w:sz w:val="22"/>
          <w:szCs w:val="22"/>
        </w:rPr>
        <w:t xml:space="preserve"> առաջին եռամսյակում դոլարային արտահայտությամբ ապրանքների ներմուծման </w:t>
      </w:r>
      <w:r w:rsidR="00A01F96" w:rsidRPr="00CB396C">
        <w:rPr>
          <w:rFonts w:ascii="GHEA Grapalat" w:eastAsia="GHEA Grapalat" w:hAnsi="GHEA Grapalat" w:cs="GHEA Grapalat"/>
          <w:sz w:val="22"/>
          <w:szCs w:val="22"/>
        </w:rPr>
        <w:t>ծավալն</w:t>
      </w:r>
      <w:r w:rsidRPr="00CB396C">
        <w:rPr>
          <w:rFonts w:ascii="GHEA Grapalat" w:eastAsia="GHEA Grapalat" w:hAnsi="GHEA Grapalat" w:cs="GHEA Grapalat"/>
          <w:sz w:val="22"/>
          <w:szCs w:val="22"/>
        </w:rPr>
        <w:t xml:space="preserve"> աճել է 89.1%-ով՝ կազմելով 2583.3 մլն դոլար: Ընդ որում՝ գրանցվել է իրական ծավալների շուրջ 63% աճ, իսկ ներմուծվող ապրանքների գները նվազել են:</w:t>
      </w:r>
    </w:p>
    <w:p w:rsidR="00D87203" w:rsidRPr="00CB396C" w:rsidRDefault="00D87203" w:rsidP="00D87203">
      <w:pPr>
        <w:spacing w:line="276" w:lineRule="auto"/>
        <w:jc w:val="both"/>
        <w:rPr>
          <w:rFonts w:ascii="GHEA Grapalat" w:hAnsi="GHEA Grapalat" w:cs="Sylfaen"/>
          <w:b/>
          <w:sz w:val="22"/>
          <w:szCs w:val="22"/>
        </w:rPr>
      </w:pPr>
      <w:bookmarkStart w:id="26" w:name="_Hlk134260770"/>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p w:rsidR="00A01F96" w:rsidRPr="00CB396C" w:rsidRDefault="00A01F96" w:rsidP="00D87203">
      <w:pPr>
        <w:spacing w:line="276" w:lineRule="auto"/>
        <w:jc w:val="both"/>
        <w:rPr>
          <w:rFonts w:ascii="GHEA Grapalat" w:hAnsi="GHEA Grapalat" w:cs="Sylfaen"/>
          <w:b/>
          <w:sz w:val="22"/>
          <w:szCs w:val="22"/>
        </w:rPr>
      </w:pPr>
    </w:p>
    <w:bookmarkEnd w:id="26"/>
    <w:p w:rsidR="00D87203" w:rsidRPr="00CB396C" w:rsidRDefault="00D87203" w:rsidP="00BB6A15">
      <w:pPr>
        <w:pStyle w:val="a"/>
        <w:rPr>
          <w:b/>
          <w:iCs/>
        </w:rPr>
      </w:pPr>
      <w:r w:rsidRPr="00CB396C">
        <w:lastRenderedPageBreak/>
        <w:t>Ապրանքների ներմուծման ամսական միտումները 2023 թվականի հունվար-մարտ</w:t>
      </w:r>
      <w:r w:rsidRPr="00CB396C">
        <w:rPr>
          <w:bCs/>
          <w:iCs/>
        </w:rPr>
        <w:t xml:space="preserve"> ամիսներին</w:t>
      </w:r>
    </w:p>
    <w:p w:rsidR="00A01F96" w:rsidRPr="00CB396C" w:rsidRDefault="00D87203" w:rsidP="00D87203">
      <w:pPr>
        <w:spacing w:before="120" w:line="360" w:lineRule="auto"/>
        <w:jc w:val="both"/>
        <w:rPr>
          <w:rFonts w:ascii="GHEA Grapalat" w:eastAsia="GHEA Grapalat" w:hAnsi="GHEA Grapalat" w:cs="GHEA Grapalat"/>
          <w:sz w:val="22"/>
          <w:szCs w:val="22"/>
        </w:rPr>
      </w:pPr>
      <w:r w:rsidRPr="00CB396C">
        <w:rPr>
          <w:rFonts w:ascii="GHEA Grapalat" w:hAnsi="GHEA Grapalat"/>
          <w:noProof/>
          <w:sz w:val="22"/>
          <w:szCs w:val="22"/>
        </w:rPr>
        <w:drawing>
          <wp:inline distT="0" distB="0" distL="0" distR="0" wp14:anchorId="5902BE23" wp14:editId="594527C5">
            <wp:extent cx="3105150" cy="22098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B396C">
        <w:rPr>
          <w:rFonts w:ascii="GHEA Grapalat" w:eastAsia="GHEA Grapalat" w:hAnsi="GHEA Grapalat" w:cs="GHEA Grapalat"/>
          <w:sz w:val="22"/>
          <w:szCs w:val="22"/>
        </w:rPr>
        <w:t xml:space="preserve"> </w:t>
      </w:r>
      <w:r w:rsidRPr="00CB396C">
        <w:rPr>
          <w:rFonts w:ascii="GHEA Grapalat" w:eastAsia="Calibri" w:hAnsi="GHEA Grapalat"/>
          <w:i/>
          <w:noProof/>
          <w:sz w:val="22"/>
          <w:szCs w:val="22"/>
        </w:rPr>
        <w:drawing>
          <wp:inline distT="0" distB="0" distL="0" distR="0" wp14:anchorId="4D138F5A" wp14:editId="026F40EC">
            <wp:extent cx="3152140" cy="2190750"/>
            <wp:effectExtent l="0" t="0" r="1016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7203" w:rsidRPr="00CB396C" w:rsidRDefault="00D87203" w:rsidP="00D87203">
      <w:pPr>
        <w:spacing w:before="120" w:line="360" w:lineRule="auto"/>
        <w:jc w:val="both"/>
        <w:rPr>
          <w:rFonts w:ascii="GHEA Grapalat" w:eastAsia="GHEA Grapalat" w:hAnsi="GHEA Grapalat" w:cs="GHEA Grapalat"/>
          <w:sz w:val="22"/>
          <w:szCs w:val="22"/>
        </w:rPr>
      </w:pPr>
      <w:r w:rsidRPr="00CB396C">
        <w:rPr>
          <w:rFonts w:ascii="GHEA Grapalat" w:eastAsia="GHEA Grapalat" w:hAnsi="GHEA Grapalat" w:cs="GHEA Grapalat"/>
          <w:i/>
          <w:color w:val="000000"/>
          <w:sz w:val="18"/>
          <w:szCs w:val="18"/>
        </w:rPr>
        <w:t>Աղբյուրը՝ ՀՀ</w:t>
      </w:r>
      <w:r w:rsidR="006E27DC" w:rsidRPr="00CB396C">
        <w:rPr>
          <w:rFonts w:ascii="GHEA Grapalat" w:eastAsia="GHEA Grapalat" w:hAnsi="GHEA Grapalat" w:cs="GHEA Grapalat"/>
          <w:i/>
          <w:color w:val="000000"/>
          <w:sz w:val="18"/>
          <w:szCs w:val="18"/>
        </w:rPr>
        <w:t xml:space="preserve"> </w:t>
      </w:r>
      <w:r w:rsidRPr="00CB396C">
        <w:rPr>
          <w:rFonts w:ascii="GHEA Grapalat" w:eastAsia="GHEA Grapalat" w:hAnsi="GHEA Grapalat" w:cs="GHEA Grapalat"/>
          <w:i/>
          <w:color w:val="000000"/>
          <w:sz w:val="18"/>
          <w:szCs w:val="18"/>
        </w:rPr>
        <w:t>ՎԿ և ՀՀ ՖՆ հաշվարկներ</w:t>
      </w:r>
    </w:p>
    <w:p w:rsidR="00D87203" w:rsidRPr="00CB396C" w:rsidRDefault="00D87203" w:rsidP="00D87203">
      <w:pPr>
        <w:spacing w:line="360" w:lineRule="auto"/>
        <w:ind w:firstLine="567"/>
        <w:jc w:val="both"/>
        <w:rPr>
          <w:rFonts w:ascii="GHEA Grapalat" w:eastAsia="GHEA Grapalat" w:hAnsi="GHEA Grapalat" w:cs="GHEA Grapalat"/>
          <w:sz w:val="22"/>
          <w:szCs w:val="22"/>
        </w:rPr>
      </w:pPr>
    </w:p>
    <w:p w:rsidR="00D87203" w:rsidRPr="00CB396C" w:rsidRDefault="00D87203" w:rsidP="00D87203">
      <w:pPr>
        <w:spacing w:line="360" w:lineRule="auto"/>
        <w:ind w:firstLine="567"/>
        <w:jc w:val="both"/>
        <w:rPr>
          <w:rFonts w:ascii="GHEA Grapalat" w:eastAsia="GHEA Grapalat" w:hAnsi="GHEA Grapalat" w:cs="GHEA Grapalat"/>
          <w:bCs/>
          <w:sz w:val="22"/>
          <w:szCs w:val="22"/>
        </w:rPr>
      </w:pPr>
      <w:r w:rsidRPr="00CB396C">
        <w:rPr>
          <w:rFonts w:ascii="GHEA Grapalat" w:eastAsia="GHEA Grapalat" w:hAnsi="GHEA Grapalat" w:cs="GHEA Grapalat"/>
          <w:sz w:val="22"/>
          <w:szCs w:val="22"/>
        </w:rPr>
        <w:t>2023 թվականի առաջին եռամսյակում գրեթե բոլոր ապրանքախմբերով տեղի է ունեցել ներմուծման դոլարային արտահայտությամբ ծավալների աճ: Աճին ամենամեծ նպաստումն են ունեցել «Տրանսպորտի միջոցներ»</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(29.8 տոկոսային կետ), «Մեքենաներ, սարքավորումներ և մեխանիզմներ» (27.1 տոկոսային կետ), «Թանկարժեք և կիսաթանկարժեք քարեր, թանկարժեք մետաղներ և դրանցից իրեր» (13.2 տոկոսային կետ), և «Մանածագործական իրեր» (4.3 տոկոսային կետ) ապրանքախմբերը</w:t>
      </w:r>
      <w:r w:rsidRPr="00CB396C">
        <w:rPr>
          <w:rFonts w:ascii="GHEA Grapalat" w:eastAsia="GHEA Grapalat" w:hAnsi="GHEA Grapalat" w:cs="GHEA Grapalat"/>
          <w:bCs/>
          <w:sz w:val="22"/>
          <w:szCs w:val="22"/>
          <w:vertAlign w:val="superscript"/>
        </w:rPr>
        <w:footnoteReference w:id="15"/>
      </w:r>
      <w:r w:rsidRPr="00CB396C">
        <w:rPr>
          <w:rFonts w:ascii="GHEA Grapalat" w:eastAsia="GHEA Grapalat" w:hAnsi="GHEA Grapalat" w:cs="GHEA Grapalat"/>
          <w:bCs/>
          <w:sz w:val="22"/>
          <w:szCs w:val="22"/>
        </w:rPr>
        <w:t>։</w:t>
      </w:r>
    </w:p>
    <w:p w:rsidR="00D87203" w:rsidRPr="00CB396C" w:rsidRDefault="00D87203" w:rsidP="00D87203">
      <w:pPr>
        <w:spacing w:line="360" w:lineRule="auto"/>
        <w:ind w:firstLine="567"/>
        <w:jc w:val="both"/>
        <w:rPr>
          <w:rFonts w:ascii="GHEA Grapalat" w:eastAsia="GHEA Grapalat" w:hAnsi="GHEA Grapalat" w:cs="GHEA Grapalat"/>
          <w:bCs/>
          <w:sz w:val="22"/>
          <w:szCs w:val="22"/>
        </w:rPr>
      </w:pPr>
      <w:r w:rsidRPr="00CB396C">
        <w:rPr>
          <w:rFonts w:ascii="GHEA Grapalat" w:eastAsia="GHEA Grapalat" w:hAnsi="GHEA Grapalat" w:cs="GHEA Grapalat"/>
          <w:sz w:val="22"/>
          <w:szCs w:val="22"/>
        </w:rPr>
        <w:t>Միակ բացասական նպաստում ունեցած խումբը «Հանքահումքային արտադրանքն» է, որի բացասական նպաստման չափը կազմել է 1</w:t>
      </w:r>
      <w:r w:rsidRPr="00CB396C">
        <w:rPr>
          <w:rFonts w:ascii="Cambria Math" w:eastAsia="GHEA Grapalat" w:hAnsi="Cambria Math" w:cs="GHEA Grapalat"/>
          <w:sz w:val="22"/>
          <w:szCs w:val="22"/>
        </w:rPr>
        <w:t>․</w:t>
      </w:r>
      <w:r w:rsidRPr="00CB396C">
        <w:rPr>
          <w:rFonts w:ascii="GHEA Grapalat" w:eastAsia="GHEA Grapalat" w:hAnsi="GHEA Grapalat" w:cs="GHEA Grapalat"/>
          <w:sz w:val="22"/>
          <w:szCs w:val="22"/>
        </w:rPr>
        <w:t>1 տոկոսային կետ։</w:t>
      </w:r>
    </w:p>
    <w:p w:rsidR="00D87203" w:rsidRPr="00CB396C" w:rsidRDefault="00D87203" w:rsidP="00D87203">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Cs/>
          <w:sz w:val="22"/>
          <w:szCs w:val="22"/>
        </w:rPr>
        <w:t xml:space="preserve"> </w:t>
      </w:r>
      <w:r w:rsidRPr="00CB396C">
        <w:rPr>
          <w:rFonts w:ascii="GHEA Grapalat" w:eastAsia="GHEA Grapalat" w:hAnsi="GHEA Grapalat" w:cs="GHEA Grapalat"/>
          <w:sz w:val="22"/>
          <w:szCs w:val="22"/>
        </w:rPr>
        <w:t xml:space="preserve">Ըստ ապրանքների լայն </w:t>
      </w:r>
      <w:r w:rsidRPr="00CB396C">
        <w:rPr>
          <w:rFonts w:ascii="GHEA Grapalat" w:hAnsi="GHEA Grapalat" w:cs="GHEA Grapalat"/>
          <w:sz w:val="22"/>
          <w:szCs w:val="22"/>
        </w:rPr>
        <w:t>տնտեսական</w:t>
      </w:r>
      <w:r w:rsidRPr="00CB396C">
        <w:rPr>
          <w:rFonts w:ascii="GHEA Grapalat" w:eastAsia="GHEA Grapalat" w:hAnsi="GHEA Grapalat" w:cs="GHEA Grapalat"/>
          <w:sz w:val="22"/>
          <w:szCs w:val="22"/>
        </w:rPr>
        <w:t xml:space="preserve"> դասակարգման</w:t>
      </w:r>
      <w:r w:rsidRPr="00CB396C">
        <w:rPr>
          <w:rFonts w:ascii="GHEA Grapalat" w:eastAsia="GHEA Grapalat" w:hAnsi="GHEA Grapalat" w:cs="GHEA Grapalat"/>
          <w:sz w:val="22"/>
          <w:szCs w:val="22"/>
          <w:vertAlign w:val="superscript"/>
        </w:rPr>
        <w:footnoteReference w:id="16"/>
      </w:r>
      <w:r w:rsidRPr="00CB396C">
        <w:rPr>
          <w:rFonts w:ascii="GHEA Grapalat" w:eastAsia="GHEA Grapalat" w:hAnsi="GHEA Grapalat" w:cs="GHEA Grapalat"/>
          <w:sz w:val="22"/>
          <w:szCs w:val="22"/>
        </w:rPr>
        <w:t xml:space="preserve"> ներմուծման աճին նպաստել են «Միջանկյալ սպառման ապրանքները» (23.5 տոկոսային կետով, այդ թվում՝ արդյունաբերական մատակարարումները՝ 20.9 տոկոսային կետով), «Կապիտալ ապրանքները» (27.5 տոկոսային կետով) «Վերջնական սպառման ապրանքները» (16.2 տոկոսային կետով) և «Մարդատար ավտոմեքենաները» (21.9 տոկոսային կետով)</w:t>
      </w:r>
      <w:r w:rsidRPr="00CB396C">
        <w:rPr>
          <w:rFonts w:ascii="GHEA Grapalat" w:eastAsia="GHEA Grapalat" w:hAnsi="GHEA Grapalat" w:cs="GHEA Grapalat"/>
          <w:bCs/>
          <w:sz w:val="22"/>
          <w:szCs w:val="22"/>
          <w:vertAlign w:val="superscript"/>
        </w:rPr>
        <w:footnoteReference w:id="17"/>
      </w:r>
      <w:r w:rsidRPr="00CB396C">
        <w:rPr>
          <w:rFonts w:ascii="GHEA Grapalat" w:eastAsia="GHEA Grapalat" w:hAnsi="GHEA Grapalat" w:cs="GHEA Grapalat"/>
          <w:sz w:val="22"/>
          <w:szCs w:val="22"/>
        </w:rPr>
        <w:t xml:space="preserve">: </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b/>
          <w:i/>
          <w:sz w:val="22"/>
          <w:szCs w:val="22"/>
        </w:rPr>
        <w:t>Արտաքին առևտուրն ըստ գործընկեր երկրների:</w:t>
      </w:r>
      <w:r w:rsidRPr="00CB396C">
        <w:rPr>
          <w:rFonts w:ascii="GHEA Grapalat" w:eastAsia="GHEA Grapalat" w:hAnsi="GHEA Grapalat" w:cs="GHEA Grapalat"/>
          <w:i/>
          <w:sz w:val="22"/>
          <w:szCs w:val="22"/>
        </w:rPr>
        <w:t xml:space="preserve"> </w:t>
      </w:r>
      <w:r w:rsidRPr="00CB396C">
        <w:rPr>
          <w:rFonts w:ascii="GHEA Grapalat" w:eastAsia="GHEA Grapalat" w:hAnsi="GHEA Grapalat" w:cs="GHEA Grapalat"/>
          <w:sz w:val="22"/>
          <w:szCs w:val="22"/>
        </w:rPr>
        <w:t xml:space="preserve">2023 թվականի առաջին եռամսյակում արտաքին առևտրաշրջանառության աշխարհագրական կառուցվածքը կրել է որոշակի փոփոխություն։ Արտաքին առևտրի կառուցվածքում ԵԱՏՄ-ի դերը բարձրացել է, իսկ ԵՄ-ի և այլ </w:t>
      </w:r>
      <w:r w:rsidRPr="00CB396C">
        <w:rPr>
          <w:rFonts w:ascii="GHEA Grapalat" w:eastAsia="GHEA Grapalat" w:hAnsi="GHEA Grapalat" w:cs="GHEA Grapalat"/>
          <w:sz w:val="22"/>
          <w:szCs w:val="22"/>
        </w:rPr>
        <w:lastRenderedPageBreak/>
        <w:t xml:space="preserve">երկրների դերը՝ նվազել։ ՀՀ </w:t>
      </w:r>
      <w:r w:rsidRPr="00CB396C">
        <w:rPr>
          <w:rFonts w:ascii="GHEA Grapalat" w:hAnsi="GHEA Grapalat" w:cs="GHEA Grapalat"/>
          <w:sz w:val="22"/>
          <w:szCs w:val="22"/>
        </w:rPr>
        <w:t>արտաքին</w:t>
      </w:r>
      <w:r w:rsidRPr="00CB396C">
        <w:rPr>
          <w:rFonts w:ascii="GHEA Grapalat" w:eastAsia="GHEA Grapalat" w:hAnsi="GHEA Grapalat" w:cs="GHEA Grapalat"/>
          <w:sz w:val="22"/>
          <w:szCs w:val="22"/>
        </w:rPr>
        <w:t xml:space="preserve"> առևտրաշրջանառության 37%-ը բաժին է ընկել ԱՊՀ (որից 36.1</w:t>
      </w:r>
      <w:r w:rsidR="007B51B5" w:rsidRPr="00CB396C">
        <w:rPr>
          <w:rFonts w:ascii="GHEA Grapalat" w:eastAsia="GHEA Grapalat" w:hAnsi="GHEA Grapalat" w:cs="GHEA Grapalat"/>
          <w:sz w:val="22"/>
          <w:szCs w:val="22"/>
        </w:rPr>
        <w:t xml:space="preserve"> տոկոս</w:t>
      </w:r>
      <w:r w:rsidRPr="00CB396C">
        <w:rPr>
          <w:rFonts w:ascii="GHEA Grapalat" w:eastAsia="GHEA Grapalat" w:hAnsi="GHEA Grapalat" w:cs="GHEA Grapalat"/>
          <w:sz w:val="22"/>
          <w:szCs w:val="22"/>
        </w:rPr>
        <w:t xml:space="preserve">ային կետը` ԵԱՏՄ), 16%-ը` ԵՄ և 47%-ը` այլ երկրներին: ՀՀ արտաքին առևտրաշրջանառության մեջ ԱՊՀ երկրների </w:t>
      </w:r>
      <w:r w:rsidR="007B51B5" w:rsidRPr="00CB396C">
        <w:rPr>
          <w:rFonts w:ascii="GHEA Grapalat" w:eastAsia="GHEA Grapalat" w:hAnsi="GHEA Grapalat" w:cs="GHEA Grapalat"/>
          <w:sz w:val="22"/>
          <w:szCs w:val="22"/>
        </w:rPr>
        <w:t>կշիռն</w:t>
      </w:r>
      <w:r w:rsidRPr="00CB396C">
        <w:rPr>
          <w:rFonts w:ascii="GHEA Grapalat" w:eastAsia="GHEA Grapalat" w:hAnsi="GHEA Grapalat" w:cs="GHEA Grapalat"/>
          <w:sz w:val="22"/>
          <w:szCs w:val="22"/>
        </w:rPr>
        <w:t xml:space="preserve"> ավելացել է 4.1</w:t>
      </w:r>
      <w:r w:rsidR="007B51B5" w:rsidRPr="00CB396C">
        <w:rPr>
          <w:rFonts w:ascii="GHEA Grapalat" w:eastAsia="GHEA Grapalat" w:hAnsi="GHEA Grapalat" w:cs="GHEA Grapalat"/>
          <w:sz w:val="22"/>
          <w:szCs w:val="22"/>
        </w:rPr>
        <w:t xml:space="preserve"> տոկոսա</w:t>
      </w:r>
      <w:r w:rsidRPr="00CB396C">
        <w:rPr>
          <w:rFonts w:ascii="GHEA Grapalat" w:eastAsia="GHEA Grapalat" w:hAnsi="GHEA Grapalat" w:cs="GHEA Grapalat"/>
          <w:sz w:val="22"/>
          <w:szCs w:val="22"/>
        </w:rPr>
        <w:t>յին կետով, ԵԱՏՄ-</w:t>
      </w:r>
      <w:r w:rsidR="007B51B5" w:rsidRPr="00CB396C">
        <w:rPr>
          <w:rFonts w:ascii="GHEA Grapalat" w:eastAsia="GHEA Grapalat" w:hAnsi="GHEA Grapalat" w:cs="GHEA Grapalat"/>
          <w:sz w:val="22"/>
          <w:szCs w:val="22"/>
        </w:rPr>
        <w:t>ի</w:t>
      </w:r>
      <w:r w:rsidRPr="00CB396C">
        <w:rPr>
          <w:rFonts w:ascii="GHEA Grapalat" w:eastAsia="GHEA Grapalat" w:hAnsi="GHEA Grapalat" w:cs="GHEA Grapalat"/>
          <w:sz w:val="22"/>
          <w:szCs w:val="22"/>
        </w:rPr>
        <w:t>ն</w:t>
      </w:r>
      <w:r w:rsidR="007B51B5" w:rsidRPr="00CB396C">
        <w:rPr>
          <w:rFonts w:ascii="GHEA Grapalat" w:eastAsia="GHEA Grapalat" w:hAnsi="GHEA Grapalat" w:cs="GHEA Grapalat"/>
          <w:sz w:val="22"/>
          <w:szCs w:val="22"/>
        </w:rPr>
        <w:t>ը</w:t>
      </w:r>
      <w:r w:rsidRPr="00CB396C">
        <w:rPr>
          <w:rFonts w:ascii="GHEA Grapalat" w:eastAsia="GHEA Grapalat" w:hAnsi="GHEA Grapalat" w:cs="GHEA Grapalat"/>
          <w:sz w:val="22"/>
          <w:szCs w:val="22"/>
        </w:rPr>
        <w:t>՝ 5</w:t>
      </w:r>
      <w:r w:rsidR="007B51B5" w:rsidRPr="00CB396C">
        <w:rPr>
          <w:rFonts w:ascii="GHEA Grapalat" w:eastAsia="GHEA Grapalat" w:hAnsi="GHEA Grapalat" w:cs="GHEA Grapalat"/>
          <w:sz w:val="22"/>
          <w:szCs w:val="22"/>
        </w:rPr>
        <w:t xml:space="preserve"> տոկոս</w:t>
      </w:r>
      <w:r w:rsidRPr="00CB396C">
        <w:rPr>
          <w:rFonts w:ascii="GHEA Grapalat" w:eastAsia="GHEA Grapalat" w:hAnsi="GHEA Grapalat" w:cs="GHEA Grapalat"/>
          <w:sz w:val="22"/>
          <w:szCs w:val="22"/>
        </w:rPr>
        <w:t xml:space="preserve">ային կետով (ՌԴ՝ 4.4), իսկ ԵՄ-ի և այլ երկրներինը կշիռները նվազել են </w:t>
      </w:r>
      <w:r w:rsidR="007B51B5" w:rsidRPr="00CB396C">
        <w:rPr>
          <w:rFonts w:ascii="GHEA Grapalat" w:eastAsia="GHEA Grapalat" w:hAnsi="GHEA Grapalat" w:cs="GHEA Grapalat"/>
          <w:sz w:val="22"/>
          <w:szCs w:val="22"/>
        </w:rPr>
        <w:t>համապատասխանաբար</w:t>
      </w:r>
      <w:r w:rsidRPr="00CB396C">
        <w:rPr>
          <w:rFonts w:ascii="GHEA Grapalat" w:eastAsia="GHEA Grapalat" w:hAnsi="GHEA Grapalat" w:cs="GHEA Grapalat"/>
          <w:sz w:val="22"/>
          <w:szCs w:val="22"/>
        </w:rPr>
        <w:t xml:space="preserve"> 3.6 և 0.5 </w:t>
      </w:r>
      <w:r w:rsidR="007B51B5" w:rsidRPr="00CB396C">
        <w:rPr>
          <w:rFonts w:ascii="GHEA Grapalat" w:eastAsia="GHEA Grapalat" w:hAnsi="GHEA Grapalat" w:cs="GHEA Grapalat"/>
          <w:sz w:val="22"/>
          <w:szCs w:val="22"/>
        </w:rPr>
        <w:t>տոկոս</w:t>
      </w:r>
      <w:r w:rsidRPr="00CB396C">
        <w:rPr>
          <w:rFonts w:ascii="GHEA Grapalat" w:eastAsia="GHEA Grapalat" w:hAnsi="GHEA Grapalat" w:cs="GHEA Grapalat"/>
          <w:sz w:val="22"/>
          <w:szCs w:val="22"/>
        </w:rPr>
        <w:t>ային կետերով։</w:t>
      </w:r>
    </w:p>
    <w:p w:rsidR="00D87203" w:rsidRPr="00CB396C" w:rsidRDefault="00D87203" w:rsidP="00CB2150">
      <w:pPr>
        <w:spacing w:line="360" w:lineRule="auto"/>
        <w:ind w:firstLine="567"/>
        <w:jc w:val="both"/>
        <w:rPr>
          <w:rFonts w:ascii="GHEA Grapalat" w:eastAsia="GHEA Grapalat" w:hAnsi="GHEA Grapalat" w:cs="GHEA Grapalat"/>
          <w:sz w:val="22"/>
          <w:szCs w:val="22"/>
        </w:rPr>
      </w:pPr>
      <w:r w:rsidRPr="00CB396C">
        <w:rPr>
          <w:rFonts w:ascii="GHEA Grapalat" w:eastAsia="GHEA Grapalat" w:hAnsi="GHEA Grapalat" w:cs="GHEA Grapalat"/>
          <w:sz w:val="22"/>
          <w:szCs w:val="22"/>
        </w:rPr>
        <w:t>ՀՀ խոշոր առևտրային գործընկեր ՌԴ-ի հետ առևտրաշրջանառության ծավալները հաշվետու ժամանակաշրջանում սկսել են արգանալ, մասնավորապես՝ հաշվետու ժամանակահատվածում արտահանումը դեպի ՌԴ աճել է շուրջ 4.5 անգամ, իսկ ներմուծումը` 41.2%-ով: 2023 թվականի առաջին եռամսյակում ՌԴ-ի կշիռը կազմել է ՀՀ առևտրաշրջանառության 34.6%-ը: ՀՀ խոշոր առևտրային գործընկերների շրջանակում ընդգրկված են նաև Չինաստանը (10.6%), Իրանը (4%), Արաբական Միացյալ Էմիրություններ (7%), Գերմանիան</w:t>
      </w:r>
      <w:r w:rsidR="00DB2C1E" w:rsidRPr="00CB396C">
        <w:rPr>
          <w:rFonts w:ascii="GHEA Grapalat" w:eastAsia="GHEA Grapalat" w:hAnsi="GHEA Grapalat" w:cs="GHEA Grapalat"/>
          <w:sz w:val="22"/>
          <w:szCs w:val="22"/>
        </w:rPr>
        <w:t xml:space="preserve"> (4.1%),</w:t>
      </w:r>
      <w:r w:rsidRPr="00CB396C">
        <w:rPr>
          <w:rFonts w:ascii="GHEA Grapalat" w:eastAsia="GHEA Grapalat" w:hAnsi="GHEA Grapalat" w:cs="GHEA Grapalat"/>
          <w:sz w:val="22"/>
          <w:szCs w:val="22"/>
        </w:rPr>
        <w:t xml:space="preserve"> ԱՄՆ-ն (4.1%) և այլն:</w:t>
      </w:r>
    </w:p>
    <w:p w:rsidR="00D87203" w:rsidRPr="00CB396C" w:rsidRDefault="00D87203" w:rsidP="00CB2150">
      <w:pPr>
        <w:spacing w:line="360" w:lineRule="auto"/>
        <w:ind w:firstLine="567"/>
        <w:jc w:val="both"/>
        <w:rPr>
          <w:rFonts w:ascii="GHEA Grapalat" w:eastAsia="GHEA Grapalat" w:hAnsi="GHEA Grapalat" w:cs="GHEA Grapalat"/>
          <w:b/>
          <w:sz w:val="22"/>
          <w:szCs w:val="22"/>
        </w:rPr>
      </w:pPr>
      <w:r w:rsidRPr="00CB396C">
        <w:rPr>
          <w:rFonts w:ascii="GHEA Grapalat" w:eastAsia="GHEA Grapalat" w:hAnsi="GHEA Grapalat" w:cs="GHEA Grapalat"/>
          <w:b/>
          <w:i/>
          <w:sz w:val="22"/>
          <w:szCs w:val="22"/>
        </w:rPr>
        <w:t>Զբոսաշրջություն:</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2023 թվականի հունվար-մարտ ամիսներին ՀՀ այցելած և ՀՀ-ից մեկնած զբոսաշրջիկների թվաքանակը նախորդ տարվա նույն ժամանակահատվածի համեմատ կտրուկ ավելացել է:</w:t>
      </w:r>
      <w:r w:rsidR="006E27DC"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2023</w:t>
      </w:r>
      <w:r w:rsidR="00DB2C1E"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թ</w:t>
      </w:r>
      <w:r w:rsidR="00DB2C1E" w:rsidRPr="00CB396C">
        <w:rPr>
          <w:rFonts w:ascii="GHEA Grapalat" w:eastAsia="GHEA Grapalat" w:hAnsi="GHEA Grapalat" w:cs="GHEA Grapalat"/>
          <w:sz w:val="22"/>
          <w:szCs w:val="22"/>
        </w:rPr>
        <w:t>վականի</w:t>
      </w:r>
      <w:r w:rsidRPr="00CB396C">
        <w:rPr>
          <w:rFonts w:ascii="GHEA Grapalat" w:eastAsia="GHEA Grapalat" w:hAnsi="GHEA Grapalat" w:cs="GHEA Grapalat"/>
          <w:sz w:val="22"/>
          <w:szCs w:val="22"/>
        </w:rPr>
        <w:t xml:space="preserve"> </w:t>
      </w:r>
      <w:r w:rsidRPr="00CB396C">
        <w:rPr>
          <w:rFonts w:ascii="GHEA Grapalat" w:hAnsi="GHEA Grapalat" w:cs="GHEA Grapalat"/>
          <w:sz w:val="22"/>
          <w:szCs w:val="22"/>
        </w:rPr>
        <w:t>առաջին</w:t>
      </w:r>
      <w:r w:rsidRPr="00CB396C">
        <w:rPr>
          <w:rFonts w:ascii="GHEA Grapalat" w:eastAsia="GHEA Grapalat" w:hAnsi="GHEA Grapalat" w:cs="GHEA Grapalat"/>
          <w:sz w:val="22"/>
          <w:szCs w:val="22"/>
        </w:rPr>
        <w:t xml:space="preserve"> եռամսյակում ՀՀ այցելած զբոսաշրջիկների թվաքանակը հասել է 452 հազարի</w:t>
      </w:r>
      <w:r w:rsidR="00DB2C1E" w:rsidRPr="00CB396C">
        <w:rPr>
          <w:rFonts w:ascii="GHEA Grapalat" w:eastAsia="GHEA Grapalat" w:hAnsi="GHEA Grapalat" w:cs="GHEA Grapalat"/>
          <w:sz w:val="22"/>
          <w:szCs w:val="22"/>
        </w:rPr>
        <w:t>՝</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նախորդ տարվա նույն եռամսյակի նկատմամբ աճելով 81.2%</w:t>
      </w:r>
      <w:r w:rsidR="00DB2C1E" w:rsidRPr="00CB396C">
        <w:rPr>
          <w:rFonts w:ascii="GHEA Grapalat" w:eastAsia="GHEA Grapalat" w:hAnsi="GHEA Grapalat" w:cs="GHEA Grapalat"/>
          <w:sz w:val="22"/>
          <w:szCs w:val="22"/>
        </w:rPr>
        <w:t>-ով</w:t>
      </w:r>
      <w:r w:rsidRPr="00CB396C">
        <w:rPr>
          <w:rFonts w:ascii="GHEA Grapalat" w:eastAsia="GHEA Grapalat" w:hAnsi="GHEA Grapalat" w:cs="GHEA Grapalat"/>
          <w:sz w:val="22"/>
          <w:szCs w:val="22"/>
        </w:rPr>
        <w:t xml:space="preserve"> (շուրջ 202 հազար մարդով), որին ՌԴ զբոսաշրջիկների (237 հազար) նպաստումը կազմել է շուրջ 51.4</w:t>
      </w:r>
      <w:r w:rsidR="00DB2C1E" w:rsidRPr="00CB396C">
        <w:rPr>
          <w:rFonts w:ascii="GHEA Grapalat" w:eastAsia="GHEA Grapalat" w:hAnsi="GHEA Grapalat" w:cs="GHEA Grapalat"/>
          <w:sz w:val="22"/>
          <w:szCs w:val="22"/>
        </w:rPr>
        <w:t xml:space="preserve"> տոկոս</w:t>
      </w:r>
      <w:r w:rsidRPr="00CB396C">
        <w:rPr>
          <w:rFonts w:ascii="GHEA Grapalat" w:eastAsia="GHEA Grapalat" w:hAnsi="GHEA Grapalat" w:cs="GHEA Grapalat"/>
          <w:sz w:val="22"/>
          <w:szCs w:val="22"/>
        </w:rPr>
        <w:t>ային կետ:</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 xml:space="preserve">Իսկ ՀՀ-ից մեկնած զբոսաշրջիկների թվաքանակը կազմել է շուրջ 327 հազար՝ նախորդ տարվա նույն եռամսյակի նկատմամբ աճելով </w:t>
      </w:r>
      <w:r w:rsidR="00DB2C1E" w:rsidRPr="00CB396C">
        <w:rPr>
          <w:rFonts w:ascii="GHEA Grapalat" w:eastAsia="GHEA Grapalat" w:hAnsi="GHEA Grapalat" w:cs="GHEA Grapalat"/>
          <w:sz w:val="22"/>
          <w:szCs w:val="22"/>
        </w:rPr>
        <w:t>127.6</w:t>
      </w:r>
      <w:r w:rsidRPr="00CB396C">
        <w:rPr>
          <w:rFonts w:ascii="GHEA Grapalat" w:eastAsia="GHEA Grapalat" w:hAnsi="GHEA Grapalat" w:cs="GHEA Grapalat"/>
          <w:sz w:val="22"/>
          <w:szCs w:val="22"/>
        </w:rPr>
        <w:t>%-ով (շուրջ 183 հազար մարդով):</w:t>
      </w:r>
      <w:r w:rsidRPr="00CB396C">
        <w:rPr>
          <w:rFonts w:ascii="GHEA Grapalat" w:eastAsia="GHEA Grapalat" w:hAnsi="GHEA Grapalat" w:cs="GHEA Grapalat"/>
          <w:b/>
          <w:sz w:val="22"/>
          <w:szCs w:val="22"/>
        </w:rPr>
        <w:t xml:space="preserve"> </w:t>
      </w:r>
    </w:p>
    <w:p w:rsidR="00D87203" w:rsidRPr="00CB396C" w:rsidRDefault="00D87203" w:rsidP="00D87203">
      <w:pPr>
        <w:spacing w:line="360" w:lineRule="auto"/>
        <w:ind w:firstLine="540"/>
        <w:jc w:val="both"/>
        <w:rPr>
          <w:rFonts w:ascii="GHEA Grapalat" w:eastAsia="GHEA Grapalat" w:hAnsi="GHEA Grapalat" w:cs="GHEA Grapalat"/>
          <w:sz w:val="22"/>
          <w:szCs w:val="22"/>
        </w:rPr>
      </w:pPr>
    </w:p>
    <w:p w:rsidR="00D87203" w:rsidRPr="00CB396C" w:rsidRDefault="00D87203" w:rsidP="00BB6A15">
      <w:pPr>
        <w:pStyle w:val="a"/>
      </w:pPr>
      <w:r w:rsidRPr="00CB396C">
        <w:t>ՀՀ այցելած զբոսաշրջիկների</w:t>
      </w:r>
      <w:r w:rsidR="006E27DC" w:rsidRPr="00CB396C">
        <w:t xml:space="preserve"> </w:t>
      </w:r>
      <w:r w:rsidRPr="00CB396C">
        <w:t xml:space="preserve">դինամիկան 2019-2022թթ. հունվար-մարտ ամիսներին, հազար մարդ </w:t>
      </w:r>
    </w:p>
    <w:p w:rsidR="00D87203" w:rsidRPr="00CB396C" w:rsidRDefault="00D87203" w:rsidP="00D87203">
      <w:pPr>
        <w:spacing w:line="276" w:lineRule="auto"/>
        <w:jc w:val="both"/>
        <w:rPr>
          <w:rFonts w:ascii="GHEA Grapalat" w:eastAsia="GHEA Grapalat" w:hAnsi="GHEA Grapalat" w:cs="GHEA Grapalat"/>
          <w:i/>
          <w:sz w:val="22"/>
          <w:szCs w:val="22"/>
        </w:rPr>
      </w:pPr>
      <w:r w:rsidRPr="00CB396C">
        <w:rPr>
          <w:rFonts w:ascii="GHEA Grapalat" w:eastAsia="GHEA Grapalat" w:hAnsi="GHEA Grapalat" w:cs="GHEA Grapalat"/>
          <w:i/>
          <w:noProof/>
          <w:sz w:val="22"/>
          <w:szCs w:val="22"/>
        </w:rPr>
        <w:drawing>
          <wp:inline distT="0" distB="0" distL="0" distR="0" wp14:anchorId="011A4D51" wp14:editId="6914DD04">
            <wp:extent cx="6486525" cy="2339340"/>
            <wp:effectExtent l="0" t="0" r="9525"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7203" w:rsidRPr="00CB396C" w:rsidRDefault="00D87203" w:rsidP="00D87203">
      <w:pPr>
        <w:spacing w:after="120" w:line="276" w:lineRule="auto"/>
        <w:jc w:val="both"/>
        <w:rPr>
          <w:rFonts w:ascii="GHEA Grapalat" w:eastAsia="GHEA Grapalat" w:hAnsi="GHEA Grapalat" w:cs="GHEA Grapalat"/>
          <w:sz w:val="22"/>
          <w:szCs w:val="22"/>
        </w:rPr>
      </w:pPr>
      <w:r w:rsidRPr="00CB396C">
        <w:rPr>
          <w:rFonts w:ascii="GHEA Grapalat" w:eastAsia="GHEA Grapalat" w:hAnsi="GHEA Grapalat" w:cs="GHEA Grapalat"/>
          <w:i/>
          <w:sz w:val="20"/>
          <w:szCs w:val="20"/>
        </w:rPr>
        <w:t>Աղբյուրը՝ ՀՀ ՎԿ</w:t>
      </w:r>
    </w:p>
    <w:p w:rsidR="00D87203" w:rsidRPr="00CB396C" w:rsidRDefault="00D87203" w:rsidP="006B57D2">
      <w:pPr>
        <w:spacing w:line="360" w:lineRule="auto"/>
        <w:ind w:firstLine="567"/>
        <w:jc w:val="both"/>
        <w:rPr>
          <w:rFonts w:ascii="GHEA Grapalat" w:hAnsi="GHEA Grapalat" w:cs="GHEA Grapalat"/>
          <w:b/>
          <w:i/>
          <w:sz w:val="22"/>
          <w:szCs w:val="22"/>
        </w:rPr>
      </w:pPr>
    </w:p>
    <w:p w:rsidR="00D87203" w:rsidRPr="00CB396C" w:rsidRDefault="00D87203" w:rsidP="00D87203">
      <w:pPr>
        <w:pStyle w:val="Heading6"/>
        <w:ind w:left="567"/>
        <w:rPr>
          <w:rFonts w:ascii="GHEA Grapalat" w:hAnsi="GHEA Grapalat"/>
          <w:b/>
          <w:sz w:val="22"/>
          <w:szCs w:val="22"/>
          <w:u w:val="none"/>
        </w:rPr>
      </w:pPr>
      <w:r w:rsidRPr="00CB396C">
        <w:rPr>
          <w:rFonts w:ascii="GHEA Grapalat" w:hAnsi="GHEA Grapalat"/>
          <w:b/>
          <w:sz w:val="22"/>
          <w:szCs w:val="22"/>
          <w:u w:val="none"/>
        </w:rPr>
        <w:lastRenderedPageBreak/>
        <w:t>Արժութային շուկա և փոխարժեքներ</w:t>
      </w:r>
    </w:p>
    <w:p w:rsidR="00D87203" w:rsidRPr="00CB396C" w:rsidRDefault="00D87203" w:rsidP="00CB2150">
      <w:pPr>
        <w:spacing w:line="360" w:lineRule="auto"/>
        <w:ind w:firstLine="567"/>
        <w:jc w:val="both"/>
        <w:rPr>
          <w:rFonts w:ascii="GHEA Grapalat" w:eastAsia="GHEA Grapalat" w:hAnsi="GHEA Grapalat" w:cs="GHEA Grapalat"/>
          <w:sz w:val="22"/>
          <w:szCs w:val="22"/>
          <w:lang w:val="hy-AM"/>
        </w:rPr>
      </w:pPr>
      <w:r w:rsidRPr="00CB396C">
        <w:rPr>
          <w:rFonts w:ascii="GHEA Grapalat" w:eastAsia="GHEA Grapalat" w:hAnsi="GHEA Grapalat" w:cs="GHEA Grapalat"/>
          <w:b/>
          <w:i/>
          <w:sz w:val="22"/>
          <w:szCs w:val="22"/>
          <w:lang w:val="hy-AM"/>
        </w:rPr>
        <w:t xml:space="preserve">Ֆիզիկական անձանց փոխանցումներ։ </w:t>
      </w:r>
      <w:r w:rsidRPr="00CB396C">
        <w:rPr>
          <w:rFonts w:ascii="GHEA Grapalat" w:eastAsia="GHEA Grapalat" w:hAnsi="GHEA Grapalat" w:cs="GHEA Grapalat"/>
          <w:sz w:val="22"/>
          <w:szCs w:val="22"/>
          <w:lang w:val="hy-AM"/>
        </w:rPr>
        <w:t>Դեպի ՀՀ</w:t>
      </w:r>
      <w:r w:rsidRPr="00CB396C">
        <w:rPr>
          <w:rFonts w:ascii="GHEA Grapalat" w:eastAsia="GHEA Grapalat" w:hAnsi="GHEA Grapalat" w:cs="GHEA Grapalat"/>
          <w:i/>
          <w:sz w:val="22"/>
          <w:szCs w:val="22"/>
          <w:lang w:val="hy-AM"/>
        </w:rPr>
        <w:t xml:space="preserve"> </w:t>
      </w:r>
      <w:r w:rsidRPr="00CB396C">
        <w:rPr>
          <w:rFonts w:ascii="GHEA Grapalat" w:eastAsia="GHEA Grapalat" w:hAnsi="GHEA Grapalat" w:cs="GHEA Grapalat"/>
          <w:iCs/>
          <w:sz w:val="22"/>
          <w:szCs w:val="22"/>
          <w:lang w:val="hy-AM"/>
        </w:rPr>
        <w:t xml:space="preserve">ֆիզիկական անձանց փոխանցումները </w:t>
      </w:r>
      <w:r w:rsidRPr="00CB396C">
        <w:rPr>
          <w:rFonts w:ascii="GHEA Grapalat" w:eastAsia="GHEA Grapalat" w:hAnsi="GHEA Grapalat" w:cs="GHEA Grapalat"/>
          <w:sz w:val="22"/>
          <w:szCs w:val="22"/>
          <w:lang w:val="hy-AM"/>
        </w:rPr>
        <w:t>2023 թվականի առաջին եռամսյակում</w:t>
      </w:r>
      <w:r w:rsidRPr="00CB396C">
        <w:rPr>
          <w:rFonts w:ascii="GHEA Grapalat" w:eastAsia="GHEA Grapalat" w:hAnsi="GHEA Grapalat" w:cs="GHEA Grapalat"/>
          <w:iCs/>
          <w:sz w:val="22"/>
          <w:szCs w:val="22"/>
          <w:lang w:val="hy-AM"/>
        </w:rPr>
        <w:t xml:space="preserve"> շարունակում են մնալ բարձր մակարդակի վրա</w:t>
      </w:r>
      <w:r w:rsidR="00DB2C1E" w:rsidRPr="00146D21">
        <w:rPr>
          <w:rFonts w:ascii="GHEA Grapalat" w:eastAsia="GHEA Grapalat" w:hAnsi="GHEA Grapalat" w:cs="GHEA Grapalat"/>
          <w:iCs/>
          <w:sz w:val="22"/>
          <w:szCs w:val="22"/>
          <w:lang w:val="hy-AM"/>
        </w:rPr>
        <w:t>՝</w:t>
      </w:r>
      <w:r w:rsidRPr="00CB396C">
        <w:rPr>
          <w:rFonts w:ascii="GHEA Grapalat" w:eastAsia="GHEA Grapalat" w:hAnsi="GHEA Grapalat" w:cs="GHEA Grapalat"/>
          <w:iCs/>
          <w:sz w:val="22"/>
          <w:szCs w:val="22"/>
          <w:lang w:val="hy-AM"/>
        </w:rPr>
        <w:t xml:space="preserve"> պահպանելով ՀՀ-ում արտարժույթի բարձր առաջարկը։</w:t>
      </w:r>
      <w:r w:rsidRPr="00CB396C">
        <w:rPr>
          <w:rFonts w:ascii="GHEA Grapalat" w:eastAsia="GHEA Grapalat" w:hAnsi="GHEA Grapalat" w:cs="GHEA Grapalat"/>
          <w:b/>
          <w:iCs/>
          <w:sz w:val="22"/>
          <w:szCs w:val="22"/>
          <w:lang w:val="hy-AM"/>
        </w:rPr>
        <w:t xml:space="preserve"> </w:t>
      </w:r>
      <w:r w:rsidRPr="00CB396C">
        <w:rPr>
          <w:rFonts w:ascii="GHEA Grapalat" w:eastAsia="GHEA Grapalat" w:hAnsi="GHEA Grapalat" w:cs="GHEA Grapalat"/>
          <w:sz w:val="22"/>
          <w:szCs w:val="22"/>
          <w:lang w:val="hy-AM"/>
        </w:rPr>
        <w:t xml:space="preserve">ՀՀ բանկերի միջոցով ֆիզիկական անձանց անունով </w:t>
      </w:r>
      <w:r w:rsidRPr="00146D21">
        <w:rPr>
          <w:rFonts w:ascii="GHEA Grapalat" w:hAnsi="GHEA Grapalat" w:cs="GHEA Grapalat"/>
          <w:sz w:val="22"/>
          <w:szCs w:val="22"/>
          <w:lang w:val="hy-AM"/>
        </w:rPr>
        <w:t>արտերկրներից</w:t>
      </w:r>
      <w:r w:rsidRPr="00CB396C">
        <w:rPr>
          <w:rFonts w:ascii="GHEA Grapalat" w:eastAsia="GHEA Grapalat" w:hAnsi="GHEA Grapalat" w:cs="GHEA Grapalat"/>
          <w:sz w:val="22"/>
          <w:szCs w:val="22"/>
          <w:lang w:val="hy-AM"/>
        </w:rPr>
        <w:t xml:space="preserve"> մուտք եղած և ՀՀ-ից արտերկիր կատարված առևտրային և ոչ առևտրային նպատակով զուտ փոխանցումները 2023 թվականի առաջին եռամսյակում կազմել են 553.2 մլն դոլար</w:t>
      </w:r>
      <w:r w:rsidR="00EF02E9" w:rsidRPr="00CB396C">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նախորդ տարվա նույն ժամանակահատվածի համեմատ աճելով 2.9 անգամ: Ընդ որում՝ ՌԴ</w:t>
      </w:r>
      <w:r w:rsidR="00EF02E9" w:rsidRPr="00CB396C">
        <w:rPr>
          <w:rFonts w:ascii="GHEA Grapalat" w:eastAsia="GHEA Grapalat" w:hAnsi="GHEA Grapalat" w:cs="GHEA Grapalat"/>
          <w:sz w:val="22"/>
          <w:szCs w:val="22"/>
          <w:lang w:val="hy-AM"/>
        </w:rPr>
        <w:noBreakHyphen/>
      </w:r>
      <w:r w:rsidRPr="00CB396C">
        <w:rPr>
          <w:rFonts w:ascii="GHEA Grapalat" w:eastAsia="GHEA Grapalat" w:hAnsi="GHEA Grapalat" w:cs="GHEA Grapalat"/>
          <w:sz w:val="22"/>
          <w:szCs w:val="22"/>
          <w:lang w:val="hy-AM"/>
        </w:rPr>
        <w:t>ից զուտ փոխանցումները 2023 թվականի առաջին եռամսյակում կազմել են 1.1 մլրդ դոլար</w:t>
      </w:r>
      <w:r w:rsidR="00EF02E9" w:rsidRPr="00146D21">
        <w:rPr>
          <w:rFonts w:ascii="GHEA Grapalat" w:eastAsia="GHEA Grapalat" w:hAnsi="GHEA Grapalat" w:cs="GHEA Grapalat"/>
          <w:sz w:val="22"/>
          <w:szCs w:val="22"/>
          <w:lang w:val="hy-AM"/>
        </w:rPr>
        <w:t>՝</w:t>
      </w:r>
      <w:r w:rsidRPr="00CB396C">
        <w:rPr>
          <w:rFonts w:ascii="GHEA Grapalat" w:eastAsia="GHEA Grapalat" w:hAnsi="GHEA Grapalat" w:cs="GHEA Grapalat"/>
          <w:sz w:val="22"/>
          <w:szCs w:val="22"/>
          <w:lang w:val="hy-AM"/>
        </w:rPr>
        <w:t xml:space="preserve"> նախորդ տարվա նույն ժամանակահատվածի համեմատ աճելով շուրջ 9.1 անգամ։ Արդյունքում 2023 թվականի առաջին եռամսյակում ՀՀ-ում արտարժույթի ծավալները կտրուկ ավելացել են:</w:t>
      </w:r>
    </w:p>
    <w:p w:rsidR="00DB2C1E" w:rsidRPr="00CB396C" w:rsidRDefault="00DB2C1E" w:rsidP="00CB2150">
      <w:pPr>
        <w:spacing w:line="360" w:lineRule="auto"/>
        <w:ind w:firstLine="567"/>
        <w:jc w:val="both"/>
        <w:rPr>
          <w:rFonts w:ascii="GHEA Grapalat" w:eastAsia="GHEA Grapalat" w:hAnsi="GHEA Grapalat" w:cs="GHEA Grapalat"/>
          <w:sz w:val="22"/>
          <w:szCs w:val="22"/>
          <w:lang w:val="hy-AM"/>
        </w:rPr>
      </w:pPr>
    </w:p>
    <w:p w:rsidR="00D87203" w:rsidRPr="00146D21" w:rsidRDefault="00D87203" w:rsidP="00BB6A15">
      <w:pPr>
        <w:pStyle w:val="a"/>
        <w:rPr>
          <w:lang w:val="hy-AM"/>
        </w:rPr>
      </w:pPr>
      <w:r w:rsidRPr="00146D21">
        <w:rPr>
          <w:lang w:val="hy-AM"/>
        </w:rPr>
        <w:t>ՀՀ բանկերի միջոցով ֆիզիկական անձանց անունով</w:t>
      </w:r>
      <w:r w:rsidR="006E27DC" w:rsidRPr="00146D21">
        <w:rPr>
          <w:lang w:val="hy-AM"/>
        </w:rPr>
        <w:t xml:space="preserve"> </w:t>
      </w:r>
      <w:r w:rsidRPr="00146D21">
        <w:rPr>
          <w:lang w:val="hy-AM"/>
        </w:rPr>
        <w:t xml:space="preserve">արտերկրներից մուտք եղած և ՀՀ-ից ֆիզիկական անձանց կողմից արտերկիր կատարված զուտ փոխանցումներ, մլն ԱՄՆ դոլար </w:t>
      </w:r>
    </w:p>
    <w:p w:rsidR="00D87203" w:rsidRPr="00CB396C" w:rsidRDefault="00D87203" w:rsidP="00D87203">
      <w:pPr>
        <w:spacing w:after="60"/>
        <w:rPr>
          <w:rFonts w:ascii="GHEA Grapalat" w:eastAsia="GHEA Grapalat" w:hAnsi="GHEA Grapalat"/>
          <w:b/>
        </w:rPr>
      </w:pPr>
      <w:r w:rsidRPr="00CB396C">
        <w:rPr>
          <w:rFonts w:ascii="GHEA Grapalat" w:eastAsia="GHEA Grapalat" w:hAnsi="GHEA Grapalat"/>
          <w:b/>
          <w:noProof/>
        </w:rPr>
        <w:drawing>
          <wp:inline distT="0" distB="0" distL="0" distR="0" wp14:anchorId="606FC2F4" wp14:editId="3A96F5F0">
            <wp:extent cx="6629400" cy="26955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7203" w:rsidRPr="00CB396C" w:rsidRDefault="00D87203" w:rsidP="00D87203">
      <w:pPr>
        <w:spacing w:after="120"/>
        <w:rPr>
          <w:rFonts w:ascii="GHEA Grapalat" w:hAnsi="GHEA Grapalat" w:cs="Sylfaen"/>
          <w:i/>
          <w:sz w:val="18"/>
          <w:szCs w:val="18"/>
        </w:rPr>
      </w:pPr>
      <w:r w:rsidRPr="00CB396C">
        <w:rPr>
          <w:rFonts w:ascii="GHEA Grapalat" w:hAnsi="GHEA Grapalat" w:cs="Sylfaen"/>
          <w:i/>
          <w:sz w:val="18"/>
          <w:szCs w:val="18"/>
        </w:rPr>
        <w:t>Աղբյուրը՝ ՀՀ ԿԲ, ՀՀ ՖՆ հաշվարկներ</w:t>
      </w:r>
    </w:p>
    <w:p w:rsidR="00D87203" w:rsidRPr="00CB396C" w:rsidRDefault="00D87203" w:rsidP="00D87203">
      <w:pPr>
        <w:spacing w:after="120"/>
        <w:rPr>
          <w:rFonts w:ascii="GHEA Grapalat" w:hAnsi="GHEA Grapalat" w:cs="Sylfaen"/>
          <w:i/>
          <w:sz w:val="18"/>
          <w:szCs w:val="18"/>
        </w:rPr>
      </w:pPr>
    </w:p>
    <w:p w:rsidR="00D87203" w:rsidRPr="00CB396C" w:rsidRDefault="00D87203" w:rsidP="00D87203">
      <w:pPr>
        <w:spacing w:line="360" w:lineRule="auto"/>
        <w:ind w:firstLine="567"/>
        <w:jc w:val="both"/>
        <w:rPr>
          <w:rFonts w:ascii="GHEA Grapalat" w:eastAsia="GHEA Grapalat" w:hAnsi="GHEA Grapalat" w:cs="GHEA Grapalat"/>
          <w:bCs/>
          <w:sz w:val="22"/>
          <w:szCs w:val="22"/>
        </w:rPr>
      </w:pPr>
      <w:r w:rsidRPr="00CB396C">
        <w:rPr>
          <w:rFonts w:ascii="GHEA Grapalat" w:eastAsia="GHEA Grapalat" w:hAnsi="GHEA Grapalat" w:cs="GHEA Grapalat"/>
          <w:b/>
          <w:i/>
          <w:sz w:val="22"/>
          <w:szCs w:val="22"/>
        </w:rPr>
        <w:t xml:space="preserve">Արժութային շուկա։ </w:t>
      </w:r>
      <w:r w:rsidRPr="00CB396C">
        <w:rPr>
          <w:rFonts w:ascii="GHEA Grapalat" w:eastAsia="GHEA Grapalat" w:hAnsi="GHEA Grapalat" w:cs="GHEA Grapalat"/>
          <w:sz w:val="22"/>
          <w:szCs w:val="22"/>
        </w:rPr>
        <w:t>ՀՀ արժութային շուկայի շրջանառության ծավալները 2022</w:t>
      </w:r>
      <w:r w:rsidR="00EF02E9"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թ</w:t>
      </w:r>
      <w:r w:rsidR="00EF02E9" w:rsidRPr="00CB396C">
        <w:rPr>
          <w:rFonts w:ascii="GHEA Grapalat" w:eastAsia="GHEA Grapalat" w:hAnsi="GHEA Grapalat" w:cs="GHEA Grapalat"/>
          <w:sz w:val="22"/>
          <w:szCs w:val="22"/>
        </w:rPr>
        <w:t>վական</w:t>
      </w:r>
      <w:r w:rsidRPr="00CB396C">
        <w:rPr>
          <w:rFonts w:ascii="GHEA Grapalat" w:eastAsia="GHEA Grapalat" w:hAnsi="GHEA Grapalat" w:cs="GHEA Grapalat"/>
          <w:sz w:val="22"/>
          <w:szCs w:val="22"/>
        </w:rPr>
        <w:t>ի աննախադեպ բարձր ծավալների համեմատ սկսել են կրճատվել:</w:t>
      </w:r>
      <w:r w:rsidR="006E27DC"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bCs/>
          <w:sz w:val="22"/>
          <w:szCs w:val="22"/>
        </w:rPr>
        <w:t xml:space="preserve">Եթե հունվար ամսին </w:t>
      </w:r>
      <w:r w:rsidRPr="00CB396C">
        <w:rPr>
          <w:rFonts w:ascii="GHEA Grapalat" w:eastAsia="GHEA Grapalat" w:hAnsi="GHEA Grapalat" w:cs="GHEA Grapalat"/>
          <w:sz w:val="22"/>
          <w:szCs w:val="22"/>
        </w:rPr>
        <w:t>առքի և վաճառքի ծավալներն իրար ավելի մոտ են եղել, ապա փետրվար և մարտ ամիսների առքը գերազանցել</w:t>
      </w:r>
      <w:r w:rsidR="006E27DC" w:rsidRPr="00CB396C">
        <w:rPr>
          <w:rFonts w:ascii="GHEA Grapalat" w:eastAsia="GHEA Grapalat" w:hAnsi="GHEA Grapalat" w:cs="GHEA Grapalat"/>
          <w:sz w:val="22"/>
          <w:szCs w:val="22"/>
        </w:rPr>
        <w:t xml:space="preserve"> </w:t>
      </w:r>
      <w:r w:rsidRPr="00CB396C">
        <w:rPr>
          <w:rFonts w:ascii="GHEA Grapalat" w:eastAsia="GHEA Grapalat" w:hAnsi="GHEA Grapalat" w:cs="GHEA Grapalat"/>
          <w:sz w:val="22"/>
          <w:szCs w:val="22"/>
        </w:rPr>
        <w:t>է վաճառ</w:t>
      </w:r>
      <w:r w:rsidR="00EF02E9" w:rsidRPr="00CB396C">
        <w:rPr>
          <w:rFonts w:ascii="GHEA Grapalat" w:eastAsia="GHEA Grapalat" w:hAnsi="GHEA Grapalat" w:cs="GHEA Grapalat"/>
          <w:sz w:val="22"/>
          <w:szCs w:val="22"/>
        </w:rPr>
        <w:t>ք</w:t>
      </w:r>
      <w:r w:rsidRPr="00CB396C">
        <w:rPr>
          <w:rFonts w:ascii="GHEA Grapalat" w:eastAsia="GHEA Grapalat" w:hAnsi="GHEA Grapalat" w:cs="GHEA Grapalat"/>
          <w:sz w:val="22"/>
          <w:szCs w:val="22"/>
        </w:rPr>
        <w:t>ը՝ հիմնականում պայմանավորված ռուբլու ձեռքբերումներով։</w:t>
      </w:r>
    </w:p>
    <w:tbl>
      <w:tblPr>
        <w:tblStyle w:val="TableGrid"/>
        <w:tblW w:w="50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143"/>
      </w:tblGrid>
      <w:tr w:rsidR="00D87203" w:rsidRPr="00CB396C" w:rsidTr="00D87203">
        <w:trPr>
          <w:trHeight w:val="701"/>
        </w:trPr>
        <w:tc>
          <w:tcPr>
            <w:tcW w:w="2521" w:type="pct"/>
          </w:tcPr>
          <w:p w:rsidR="00D87203" w:rsidRPr="00CB396C" w:rsidRDefault="00D87203" w:rsidP="00EF02E9">
            <w:pPr>
              <w:keepNext/>
              <w:rPr>
                <w:rFonts w:ascii="GHEA Grapalat" w:eastAsia="GHEA Grapalat" w:hAnsi="GHEA Grapalat" w:cs="GHEA Grapalat"/>
                <w:b/>
                <w:sz w:val="22"/>
              </w:rPr>
            </w:pPr>
            <w:r w:rsidRPr="00CB396C">
              <w:rPr>
                <w:rFonts w:ascii="GHEA Grapalat" w:eastAsia="GHEA Grapalat" w:hAnsi="GHEA Grapalat" w:cs="GHEA Grapalat"/>
                <w:b/>
                <w:i/>
                <w:sz w:val="22"/>
              </w:rPr>
              <w:lastRenderedPageBreak/>
              <w:t>Գծապատկեր 17</w:t>
            </w:r>
            <w:r w:rsidRPr="00CB396C">
              <w:rPr>
                <w:rFonts w:ascii="GHEA Grapalat" w:eastAsia="GHEA Grapalat" w:hAnsi="GHEA Grapalat" w:cs="GHEA Grapalat"/>
                <w:i/>
                <w:sz w:val="22"/>
              </w:rPr>
              <w:t xml:space="preserve">. </w:t>
            </w:r>
            <w:r w:rsidRPr="00CB396C">
              <w:rPr>
                <w:rFonts w:ascii="GHEA Grapalat" w:eastAsia="GHEA Grapalat" w:hAnsi="GHEA Grapalat" w:cs="GHEA Grapalat"/>
                <w:sz w:val="22"/>
              </w:rPr>
              <w:t>ՀՀ արժութային (ներբանկային) շուկայի շրջանառության տվյալներ</w:t>
            </w:r>
            <w:r w:rsidR="00EF02E9" w:rsidRPr="00CB396C">
              <w:rPr>
                <w:rFonts w:ascii="GHEA Grapalat" w:eastAsia="GHEA Grapalat" w:hAnsi="GHEA Grapalat" w:cs="GHEA Grapalat"/>
                <w:sz w:val="22"/>
              </w:rPr>
              <w:t>ն</w:t>
            </w:r>
            <w:r w:rsidRPr="00CB396C">
              <w:rPr>
                <w:rFonts w:ascii="GHEA Grapalat" w:eastAsia="GHEA Grapalat" w:hAnsi="GHEA Grapalat" w:cs="GHEA Grapalat"/>
                <w:sz w:val="22"/>
              </w:rPr>
              <w:t xml:space="preserve"> ըստ</w:t>
            </w:r>
            <w:r w:rsidR="00EF02E9" w:rsidRPr="00CB396C">
              <w:rPr>
                <w:rFonts w:ascii="GHEA Grapalat" w:eastAsia="GHEA Grapalat" w:hAnsi="GHEA Grapalat" w:cs="GHEA Grapalat"/>
                <w:sz w:val="22"/>
              </w:rPr>
              <w:t xml:space="preserve"> </w:t>
            </w:r>
            <w:r w:rsidRPr="00CB396C">
              <w:rPr>
                <w:rFonts w:ascii="GHEA Grapalat" w:eastAsia="GHEA Grapalat" w:hAnsi="GHEA Grapalat" w:cs="GHEA Grapalat"/>
                <w:sz w:val="22"/>
              </w:rPr>
              <w:t>դրամային</w:t>
            </w:r>
            <w:r w:rsidRPr="00CB396C">
              <w:rPr>
                <w:rFonts w:ascii="GHEA Grapalat" w:eastAsia="GHEA Grapalat" w:hAnsi="GHEA Grapalat" w:cs="GHEA Grapalat"/>
                <w:b/>
                <w:sz w:val="22"/>
              </w:rPr>
              <w:t xml:space="preserve"> </w:t>
            </w:r>
            <w:r w:rsidRPr="00CB396C">
              <w:rPr>
                <w:rFonts w:ascii="GHEA Grapalat" w:eastAsia="GHEA Grapalat" w:hAnsi="GHEA Grapalat" w:cs="GHEA Grapalat"/>
                <w:sz w:val="22"/>
              </w:rPr>
              <w:t>համարժեքների, զուտ մլրդ դրամ</w:t>
            </w:r>
          </w:p>
        </w:tc>
        <w:tc>
          <w:tcPr>
            <w:tcW w:w="2479" w:type="pct"/>
          </w:tcPr>
          <w:p w:rsidR="00D87203" w:rsidRPr="00CB396C" w:rsidRDefault="00D87203" w:rsidP="00D87203">
            <w:pPr>
              <w:keepNext/>
              <w:spacing w:after="240"/>
              <w:rPr>
                <w:rFonts w:ascii="GHEA Grapalat" w:eastAsia="GHEA Grapalat" w:hAnsi="GHEA Grapalat" w:cs="GHEA Grapalat"/>
                <w:b/>
                <w:i/>
                <w:sz w:val="22"/>
              </w:rPr>
            </w:pPr>
            <w:r w:rsidRPr="00CB396C">
              <w:rPr>
                <w:rFonts w:ascii="GHEA Grapalat" w:eastAsia="GHEA Grapalat" w:hAnsi="GHEA Grapalat" w:cs="GHEA Grapalat"/>
                <w:b/>
                <w:i/>
                <w:sz w:val="22"/>
              </w:rPr>
              <w:t>Գծապատկեր 18</w:t>
            </w:r>
            <w:r w:rsidRPr="00CB396C">
              <w:rPr>
                <w:rFonts w:ascii="Cambria Math" w:eastAsia="GHEA Grapalat" w:hAnsi="Cambria Math" w:cs="Cambria Math"/>
                <w:i/>
                <w:sz w:val="22"/>
              </w:rPr>
              <w:t>․</w:t>
            </w:r>
            <w:r w:rsidRPr="00CB396C">
              <w:rPr>
                <w:rFonts w:ascii="GHEA Grapalat" w:eastAsia="GHEA Grapalat" w:hAnsi="GHEA Grapalat" w:cs="GHEA Grapalat"/>
                <w:i/>
                <w:sz w:val="22"/>
              </w:rPr>
              <w:t xml:space="preserve"> </w:t>
            </w:r>
            <w:r w:rsidRPr="00CB396C">
              <w:rPr>
                <w:rFonts w:ascii="GHEA Grapalat" w:eastAsia="GHEA Grapalat" w:hAnsi="GHEA Grapalat" w:cs="GHEA Grapalat"/>
                <w:sz w:val="22"/>
              </w:rPr>
              <w:t>Փոխարժեք և ԿԲ արձագանք</w:t>
            </w:r>
          </w:p>
        </w:tc>
      </w:tr>
      <w:tr w:rsidR="00D87203" w:rsidRPr="00CB396C" w:rsidTr="00D87203">
        <w:trPr>
          <w:trHeight w:val="3912"/>
        </w:trPr>
        <w:tc>
          <w:tcPr>
            <w:tcW w:w="2521" w:type="pct"/>
          </w:tcPr>
          <w:p w:rsidR="00D87203" w:rsidRPr="00CB396C" w:rsidRDefault="00D87203" w:rsidP="00D87203">
            <w:pPr>
              <w:spacing w:line="360" w:lineRule="auto"/>
              <w:jc w:val="both"/>
              <w:rPr>
                <w:rFonts w:ascii="GHEA Grapalat" w:eastAsia="GHEA Grapalat" w:hAnsi="GHEA Grapalat" w:cs="GHEA Grapalat"/>
                <w:sz w:val="22"/>
                <w:szCs w:val="22"/>
              </w:rPr>
            </w:pPr>
            <w:r w:rsidRPr="00CB396C">
              <w:rPr>
                <w:rFonts w:ascii="GHEA Grapalat" w:eastAsia="GHEA Grapalat" w:hAnsi="GHEA Grapalat" w:cs="GHEA Grapalat"/>
                <w:b/>
                <w:i/>
                <w:iCs/>
                <w:noProof/>
                <w:sz w:val="22"/>
                <w:szCs w:val="22"/>
              </w:rPr>
              <w:drawing>
                <wp:anchor distT="0" distB="0" distL="114300" distR="114300" simplePos="0" relativeHeight="251662336" behindDoc="0" locked="0" layoutInCell="1" allowOverlap="1" wp14:anchorId="4C65D639" wp14:editId="79D820F8">
                  <wp:simplePos x="0" y="0"/>
                  <wp:positionH relativeFrom="column">
                    <wp:posOffset>-3175</wp:posOffset>
                  </wp:positionH>
                  <wp:positionV relativeFrom="paragraph">
                    <wp:posOffset>8890</wp:posOffset>
                  </wp:positionV>
                  <wp:extent cx="3264408" cy="2414016"/>
                  <wp:effectExtent l="0" t="0" r="12700" b="5715"/>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c>
        <w:tc>
          <w:tcPr>
            <w:tcW w:w="2479" w:type="pct"/>
          </w:tcPr>
          <w:p w:rsidR="00D87203" w:rsidRPr="00CB396C" w:rsidRDefault="00D87203" w:rsidP="00D87203">
            <w:pPr>
              <w:spacing w:line="360" w:lineRule="auto"/>
              <w:jc w:val="both"/>
              <w:rPr>
                <w:rFonts w:ascii="GHEA Grapalat" w:eastAsia="GHEA Grapalat" w:hAnsi="GHEA Grapalat" w:cs="GHEA Grapalat"/>
                <w:sz w:val="22"/>
                <w:szCs w:val="22"/>
              </w:rPr>
            </w:pPr>
            <w:r w:rsidRPr="00CB396C">
              <w:rPr>
                <w:rFonts w:ascii="GHEA Grapalat" w:eastAsia="GHEA Grapalat" w:hAnsi="GHEA Grapalat"/>
                <w:b/>
                <w:noProof/>
              </w:rPr>
              <w:drawing>
                <wp:anchor distT="0" distB="0" distL="114300" distR="114300" simplePos="0" relativeHeight="251672576" behindDoc="0" locked="0" layoutInCell="1" allowOverlap="1" wp14:anchorId="7375C93F" wp14:editId="08B6592C">
                  <wp:simplePos x="0" y="0"/>
                  <wp:positionH relativeFrom="column">
                    <wp:posOffset>-4750</wp:posOffset>
                  </wp:positionH>
                  <wp:positionV relativeFrom="paragraph">
                    <wp:posOffset>6706</wp:posOffset>
                  </wp:positionV>
                  <wp:extent cx="3236595" cy="2413635"/>
                  <wp:effectExtent l="0" t="0" r="1905" b="5715"/>
                  <wp:wrapNone/>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r w:rsidR="00D87203" w:rsidRPr="00CB396C" w:rsidTr="00D87203">
        <w:trPr>
          <w:trHeight w:val="306"/>
        </w:trPr>
        <w:tc>
          <w:tcPr>
            <w:tcW w:w="2521" w:type="pct"/>
          </w:tcPr>
          <w:p w:rsidR="00D87203" w:rsidRPr="00CB396C" w:rsidRDefault="00D87203" w:rsidP="00D87203">
            <w:pPr>
              <w:spacing w:line="360" w:lineRule="auto"/>
              <w:jc w:val="both"/>
              <w:rPr>
                <w:rFonts w:ascii="GHEA Grapalat" w:eastAsia="GHEA Grapalat" w:hAnsi="GHEA Grapalat" w:cs="GHEA Grapalat"/>
                <w:b/>
                <w:i/>
                <w:iCs/>
                <w:sz w:val="22"/>
                <w:szCs w:val="22"/>
              </w:rPr>
            </w:pPr>
            <w:r w:rsidRPr="00CB396C">
              <w:rPr>
                <w:rFonts w:ascii="GHEA Grapalat" w:hAnsi="GHEA Grapalat" w:cs="Sylfaen"/>
                <w:i/>
                <w:sz w:val="18"/>
                <w:szCs w:val="18"/>
              </w:rPr>
              <w:t>Աղբյուրը՝ ՀՀ ԿԲ, ՀՀ ՖՆ հաշվարկներ</w:t>
            </w:r>
          </w:p>
        </w:tc>
        <w:tc>
          <w:tcPr>
            <w:tcW w:w="2479" w:type="pct"/>
          </w:tcPr>
          <w:p w:rsidR="00D87203" w:rsidRPr="00CB396C" w:rsidRDefault="00D87203" w:rsidP="00D87203">
            <w:pPr>
              <w:spacing w:line="360" w:lineRule="auto"/>
              <w:jc w:val="both"/>
              <w:rPr>
                <w:rFonts w:ascii="GHEA Grapalat" w:eastAsia="GHEA Grapalat" w:hAnsi="GHEA Grapalat" w:cs="GHEA Grapalat"/>
                <w:b/>
                <w:i/>
                <w:iCs/>
                <w:sz w:val="22"/>
                <w:szCs w:val="22"/>
              </w:rPr>
            </w:pPr>
            <w:r w:rsidRPr="00CB396C">
              <w:rPr>
                <w:rFonts w:ascii="GHEA Grapalat" w:hAnsi="GHEA Grapalat" w:cs="Sylfaen"/>
                <w:i/>
                <w:sz w:val="18"/>
                <w:szCs w:val="18"/>
              </w:rPr>
              <w:t>Աղբյուրը՝ ՀՀ ԿԲ, ՀՀ ՖՆ հաշվարկներ</w:t>
            </w:r>
          </w:p>
        </w:tc>
      </w:tr>
    </w:tbl>
    <w:p w:rsidR="00EF02E9" w:rsidRPr="00CB396C" w:rsidRDefault="00EF02E9" w:rsidP="00CB2150">
      <w:pPr>
        <w:spacing w:line="360" w:lineRule="auto"/>
        <w:ind w:firstLine="567"/>
        <w:jc w:val="both"/>
        <w:rPr>
          <w:rFonts w:ascii="GHEA Grapalat" w:eastAsia="GHEA Grapalat" w:hAnsi="GHEA Grapalat" w:cs="GHEA Grapalat"/>
          <w:b/>
          <w:i/>
          <w:iCs/>
          <w:sz w:val="22"/>
          <w:szCs w:val="22"/>
        </w:rPr>
      </w:pPr>
    </w:p>
    <w:p w:rsidR="00D87203" w:rsidRPr="00CB396C" w:rsidRDefault="00D87203" w:rsidP="00CB2150">
      <w:pPr>
        <w:spacing w:line="360" w:lineRule="auto"/>
        <w:ind w:firstLine="567"/>
        <w:jc w:val="both"/>
        <w:rPr>
          <w:rFonts w:ascii="GHEA Grapalat" w:eastAsia="Calibri" w:hAnsi="GHEA Grapalat" w:cs="Sylfaen"/>
          <w:sz w:val="22"/>
          <w:szCs w:val="22"/>
        </w:rPr>
      </w:pPr>
      <w:r w:rsidRPr="00CB396C">
        <w:rPr>
          <w:rFonts w:ascii="GHEA Grapalat" w:eastAsia="GHEA Grapalat" w:hAnsi="GHEA Grapalat" w:cs="GHEA Grapalat"/>
          <w:b/>
          <w:i/>
          <w:iCs/>
          <w:sz w:val="22"/>
          <w:szCs w:val="22"/>
        </w:rPr>
        <w:t>Երկկողմանի փոխարժեքներ։</w:t>
      </w:r>
      <w:r w:rsidRPr="00CB396C">
        <w:rPr>
          <w:rFonts w:ascii="GHEA Grapalat" w:eastAsia="GHEA Grapalat" w:hAnsi="GHEA Grapalat" w:cs="GHEA Grapalat"/>
          <w:b/>
          <w:sz w:val="22"/>
          <w:szCs w:val="22"/>
        </w:rPr>
        <w:t xml:space="preserve"> </w:t>
      </w:r>
      <w:r w:rsidRPr="00CB396C">
        <w:rPr>
          <w:rFonts w:ascii="GHEA Grapalat" w:eastAsia="GHEA Grapalat" w:hAnsi="GHEA Grapalat" w:cs="GHEA Grapalat"/>
          <w:sz w:val="22"/>
          <w:szCs w:val="22"/>
        </w:rPr>
        <w:t xml:space="preserve">2023 թվականի առաջին եռամսյակում ՀՀ դրամը ԱՄՆ դոլարի, ռուբլու և եվրոյի նկատմամբ </w:t>
      </w:r>
      <w:r w:rsidRPr="00CB396C">
        <w:rPr>
          <w:rFonts w:ascii="GHEA Grapalat" w:hAnsi="GHEA Grapalat" w:cs="GHEA Grapalat"/>
          <w:sz w:val="22"/>
          <w:szCs w:val="22"/>
        </w:rPr>
        <w:t>դրսևորել</w:t>
      </w:r>
      <w:r w:rsidRPr="00CB396C">
        <w:rPr>
          <w:rFonts w:ascii="GHEA Grapalat" w:eastAsia="GHEA Grapalat" w:hAnsi="GHEA Grapalat" w:cs="GHEA Grapalat"/>
          <w:sz w:val="22"/>
          <w:szCs w:val="22"/>
        </w:rPr>
        <w:t xml:space="preserve"> է արժևորման վարքագիծ` պայմանավորված արտարժույթի նշանակալի ներհոսքով:</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 xml:space="preserve">ԱՄՆ դոլարի, </w:t>
      </w:r>
      <w:r w:rsidR="003F6202" w:rsidRPr="00CB396C">
        <w:rPr>
          <w:rFonts w:ascii="GHEA Grapalat" w:hAnsi="GHEA Grapalat" w:cs="GHEA Grapalat"/>
          <w:sz w:val="22"/>
          <w:szCs w:val="22"/>
        </w:rPr>
        <w:t>ե</w:t>
      </w:r>
      <w:r w:rsidRPr="00CB396C">
        <w:rPr>
          <w:rFonts w:ascii="GHEA Grapalat" w:hAnsi="GHEA Grapalat" w:cs="GHEA Grapalat"/>
          <w:sz w:val="22"/>
          <w:szCs w:val="22"/>
        </w:rPr>
        <w:t>վրոյի և ՌԴ ռուբլու նկատմամբ ՀՀ դրամը 2023 թվականի առաջին եռամսյակում նախորդ տարվա նույն եռամսյակի նկատմամբ արժևորվել է համապատասխանաբար 23.9%</w:t>
      </w:r>
      <w:r w:rsidR="003F6202" w:rsidRPr="00CB396C">
        <w:rPr>
          <w:rFonts w:ascii="GHEA Grapalat" w:hAnsi="GHEA Grapalat" w:cs="GHEA Grapalat"/>
          <w:sz w:val="22"/>
          <w:szCs w:val="22"/>
        </w:rPr>
        <w:t>-ով</w:t>
      </w:r>
      <w:r w:rsidRPr="00CB396C">
        <w:rPr>
          <w:rFonts w:ascii="GHEA Grapalat" w:hAnsi="GHEA Grapalat" w:cs="GHEA Grapalat"/>
          <w:sz w:val="22"/>
          <w:szCs w:val="22"/>
        </w:rPr>
        <w:t xml:space="preserve">, 29.5%-ով և 7%-ով։ </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2023 թվականի հունվար և փետրվար ամիսներին ՀՀ դրամը դոլարի նկատմամբ դրսևորել է հարաբերական կայուն վարքագիծ, և, սկսած մարտից, նկատվել է թույլ արժևորման միտում՝ պայմանավորված դրամի նկատմամբ ձևավորված բարձր պահանջարկով։ Առաջին եռամսյակում ՀՀ դրամի՝ դոլարի նկատմամբ ձևավորված միջին փոխարժեքը կազմել է 392</w:t>
      </w:r>
      <w:r w:rsidRPr="00CB396C">
        <w:rPr>
          <w:rFonts w:ascii="Cambria Math" w:hAnsi="Cambria Math" w:cs="Cambria Math"/>
          <w:sz w:val="22"/>
          <w:szCs w:val="22"/>
        </w:rPr>
        <w:t>․</w:t>
      </w:r>
      <w:r w:rsidRPr="00CB396C">
        <w:rPr>
          <w:rFonts w:ascii="GHEA Grapalat" w:hAnsi="GHEA Grapalat" w:cs="GHEA Grapalat"/>
          <w:sz w:val="22"/>
          <w:szCs w:val="22"/>
        </w:rPr>
        <w:t>6 դրամ մեկ դոլարի դիմաց։</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Հունվար և փետրվար ամիսներին ՀՀ դրամը եվրոյի նկատմամբ ամրապնդել է դիրքը, սակայն մարտ ամսից նկատվել է արժեզրկման միտում։</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Առաջին եռամսյակում եվրոյի նկատմամբ ձևավորված միջին փոխարժեքը կազմել է 421</w:t>
      </w:r>
      <w:r w:rsidRPr="00CB396C">
        <w:rPr>
          <w:rFonts w:ascii="Cambria Math" w:hAnsi="Cambria Math" w:cs="Cambria Math"/>
          <w:sz w:val="22"/>
          <w:szCs w:val="22"/>
        </w:rPr>
        <w:t>․</w:t>
      </w:r>
      <w:r w:rsidRPr="00CB396C">
        <w:rPr>
          <w:rFonts w:ascii="GHEA Grapalat" w:hAnsi="GHEA Grapalat" w:cs="GHEA Grapalat"/>
          <w:sz w:val="22"/>
          <w:szCs w:val="22"/>
        </w:rPr>
        <w:t>7 դրամ մեկ եվրոյի դիմաց։</w:t>
      </w:r>
    </w:p>
    <w:p w:rsidR="00D87203" w:rsidRPr="00CB396C" w:rsidRDefault="00D87203" w:rsidP="00CB215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ՀՀ դրամի միջին փոխարժեքը ՌԴ ռուբլու նկատմամբ 2023 թվականի առաջին եռամսյակում նախորդ տարվա նույն ժամանակահատվածի համեմատությամբ արժևորվել է 7%-ով՝ միջազգային շուկայում ռուսական ռուբլու դիրքի թուլացմամբ պայմանավորված։ 2023</w:t>
      </w:r>
      <w:r w:rsidR="001E086D"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1E086D" w:rsidRPr="00CB396C">
        <w:rPr>
          <w:rFonts w:ascii="GHEA Grapalat" w:hAnsi="GHEA Grapalat" w:cs="GHEA Grapalat"/>
          <w:sz w:val="22"/>
          <w:szCs w:val="22"/>
        </w:rPr>
        <w:t>վականի</w:t>
      </w:r>
      <w:r w:rsidRPr="00CB396C">
        <w:rPr>
          <w:rFonts w:ascii="GHEA Grapalat" w:hAnsi="GHEA Grapalat" w:cs="GHEA Grapalat"/>
          <w:sz w:val="22"/>
          <w:szCs w:val="22"/>
        </w:rPr>
        <w:t xml:space="preserve"> առաջին եռամսյակում ռուբլու նկատմամբ ձևավորված միջին փոխարժեքը կազմել է 5.4 դրամ մեկ ռուբլու դիմաց։</w:t>
      </w:r>
    </w:p>
    <w:tbl>
      <w:tblPr>
        <w:tblStyle w:val="TableGrid"/>
        <w:tblW w:w="51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376"/>
      </w:tblGrid>
      <w:tr w:rsidR="00D87203" w:rsidRPr="00CB396C" w:rsidTr="00D87203">
        <w:trPr>
          <w:trHeight w:val="701"/>
        </w:trPr>
        <w:tc>
          <w:tcPr>
            <w:tcW w:w="2465" w:type="pct"/>
          </w:tcPr>
          <w:p w:rsidR="00D87203" w:rsidRPr="00CB396C" w:rsidRDefault="00D87203" w:rsidP="00D87203">
            <w:pPr>
              <w:keepNext/>
              <w:jc w:val="both"/>
              <w:rPr>
                <w:rFonts w:ascii="GHEA Grapalat" w:eastAsia="GHEA Grapalat" w:hAnsi="GHEA Grapalat" w:cs="GHEA Grapalat"/>
                <w:b/>
                <w:i/>
                <w:sz w:val="18"/>
                <w:szCs w:val="20"/>
              </w:rPr>
            </w:pPr>
            <w:r w:rsidRPr="00CB396C">
              <w:rPr>
                <w:rFonts w:ascii="GHEA Grapalat" w:eastAsia="GHEA Grapalat" w:hAnsi="GHEA Grapalat" w:cs="GHEA Grapalat"/>
                <w:b/>
                <w:i/>
                <w:sz w:val="20"/>
                <w:szCs w:val="22"/>
              </w:rPr>
              <w:lastRenderedPageBreak/>
              <w:t xml:space="preserve">Գծապատկեր 19. </w:t>
            </w:r>
            <w:r w:rsidRPr="00CB396C">
              <w:rPr>
                <w:rFonts w:ascii="GHEA Grapalat" w:eastAsia="GHEA Grapalat" w:hAnsi="GHEA Grapalat" w:cs="GHEA Grapalat"/>
                <w:bCs/>
                <w:sz w:val="20"/>
                <w:szCs w:val="22"/>
              </w:rPr>
              <w:t>ՀՀ դրամի անվանական փոխարժեքի ամսական դինամիկան հիմնական արժույթների նկատմամբ (բարձրացումը՝ դրամի արժեզրկում)</w:t>
            </w:r>
          </w:p>
        </w:tc>
        <w:tc>
          <w:tcPr>
            <w:tcW w:w="2535" w:type="pct"/>
          </w:tcPr>
          <w:p w:rsidR="00D87203" w:rsidRPr="00CB396C" w:rsidRDefault="00D87203" w:rsidP="00D87203">
            <w:pPr>
              <w:keepNext/>
              <w:rPr>
                <w:rFonts w:ascii="GHEA Grapalat" w:eastAsia="GHEA Grapalat" w:hAnsi="GHEA Grapalat" w:cs="GHEA Grapalat"/>
                <w:b/>
                <w:i/>
                <w:sz w:val="18"/>
                <w:szCs w:val="20"/>
              </w:rPr>
            </w:pPr>
            <w:r w:rsidRPr="00CB396C">
              <w:rPr>
                <w:rFonts w:ascii="GHEA Grapalat" w:eastAsia="GHEA Grapalat" w:hAnsi="GHEA Grapalat" w:cs="GHEA Grapalat"/>
                <w:b/>
                <w:i/>
                <w:sz w:val="20"/>
                <w:szCs w:val="22"/>
              </w:rPr>
              <w:t xml:space="preserve">Գծապատկեր 20. </w:t>
            </w:r>
            <w:r w:rsidRPr="00CB396C">
              <w:rPr>
                <w:rFonts w:ascii="GHEA Grapalat" w:eastAsia="GHEA Grapalat" w:hAnsi="GHEA Grapalat" w:cs="GHEA Grapalat"/>
                <w:bCs/>
                <w:sz w:val="20"/>
                <w:szCs w:val="22"/>
              </w:rPr>
              <w:t>ՀՀ իրական և անվանական արդյունավետ փոխարժեքների դինամիկան (աճ՝ արժևորում)</w:t>
            </w:r>
          </w:p>
        </w:tc>
      </w:tr>
      <w:tr w:rsidR="00D87203" w:rsidRPr="00CB396C" w:rsidTr="00D87203">
        <w:trPr>
          <w:trHeight w:val="4022"/>
        </w:trPr>
        <w:tc>
          <w:tcPr>
            <w:tcW w:w="2465" w:type="pct"/>
          </w:tcPr>
          <w:p w:rsidR="00D87203" w:rsidRPr="00CB396C" w:rsidRDefault="00D87203" w:rsidP="00D87203">
            <w:pPr>
              <w:spacing w:before="60" w:line="360" w:lineRule="auto"/>
              <w:jc w:val="both"/>
              <w:rPr>
                <w:rFonts w:ascii="GHEA Grapalat" w:eastAsia="GHEA Grapalat" w:hAnsi="GHEA Grapalat" w:cs="GHEA Grapalat"/>
                <w:sz w:val="22"/>
                <w:szCs w:val="22"/>
              </w:rPr>
            </w:pPr>
            <w:r w:rsidRPr="00CB396C">
              <w:rPr>
                <w:rFonts w:ascii="GHEA Grapalat" w:hAnsi="GHEA Grapalat" w:cs="Sylfaen"/>
                <w:i/>
                <w:noProof/>
                <w:sz w:val="18"/>
                <w:szCs w:val="18"/>
              </w:rPr>
              <w:drawing>
                <wp:inline distT="0" distB="0" distL="0" distR="0" wp14:anchorId="56879405" wp14:editId="2A467602">
                  <wp:extent cx="3177540" cy="2562225"/>
                  <wp:effectExtent l="0" t="0" r="381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535" w:type="pct"/>
          </w:tcPr>
          <w:p w:rsidR="00D87203" w:rsidRPr="00CB396C" w:rsidRDefault="00D87203" w:rsidP="00D87203">
            <w:pPr>
              <w:spacing w:before="60" w:line="360" w:lineRule="auto"/>
              <w:jc w:val="both"/>
              <w:rPr>
                <w:rFonts w:ascii="GHEA Grapalat" w:eastAsia="GHEA Grapalat" w:hAnsi="GHEA Grapalat" w:cs="GHEA Grapalat"/>
                <w:sz w:val="22"/>
                <w:szCs w:val="22"/>
              </w:rPr>
            </w:pPr>
            <w:r w:rsidRPr="00CB396C">
              <w:rPr>
                <w:rFonts w:eastAsia="GHEA Grapalat" w:cs="GHEA Grapalat"/>
                <w:i/>
                <w:noProof/>
                <w:sz w:val="18"/>
                <w:szCs w:val="20"/>
              </w:rPr>
              <w:drawing>
                <wp:inline distT="0" distB="0" distL="0" distR="0" wp14:anchorId="6C29FDAB" wp14:editId="21F58C3F">
                  <wp:extent cx="3276600" cy="25622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87203" w:rsidRPr="00CB396C" w:rsidTr="00D87203">
        <w:trPr>
          <w:trHeight w:val="207"/>
        </w:trPr>
        <w:tc>
          <w:tcPr>
            <w:tcW w:w="2465" w:type="pct"/>
          </w:tcPr>
          <w:p w:rsidR="00D87203" w:rsidRPr="00CB396C" w:rsidRDefault="00D87203" w:rsidP="00D87203">
            <w:pPr>
              <w:spacing w:line="360" w:lineRule="auto"/>
              <w:jc w:val="both"/>
              <w:rPr>
                <w:rFonts w:ascii="GHEA Grapalat" w:hAnsi="GHEA Grapalat" w:cs="Sylfaen"/>
                <w:i/>
                <w:sz w:val="18"/>
                <w:szCs w:val="18"/>
              </w:rPr>
            </w:pPr>
            <w:r w:rsidRPr="00CB396C">
              <w:rPr>
                <w:rFonts w:ascii="GHEA Grapalat" w:hAnsi="GHEA Grapalat" w:cs="Sylfaen"/>
                <w:i/>
                <w:sz w:val="18"/>
                <w:szCs w:val="18"/>
              </w:rPr>
              <w:t>Աղբյուրը՝ ՀՀ ԿԲ</w:t>
            </w:r>
          </w:p>
        </w:tc>
        <w:tc>
          <w:tcPr>
            <w:tcW w:w="2535" w:type="pct"/>
          </w:tcPr>
          <w:p w:rsidR="00D87203" w:rsidRPr="00CB396C" w:rsidRDefault="00D87203" w:rsidP="00D87203">
            <w:pPr>
              <w:spacing w:line="360" w:lineRule="auto"/>
              <w:jc w:val="both"/>
              <w:rPr>
                <w:rFonts w:ascii="GHEA Grapalat" w:eastAsia="GHEA Grapalat" w:hAnsi="GHEA Grapalat" w:cs="GHEA Grapalat"/>
                <w:b/>
                <w:i/>
                <w:sz w:val="18"/>
                <w:szCs w:val="20"/>
              </w:rPr>
            </w:pPr>
            <w:r w:rsidRPr="00CB396C">
              <w:rPr>
                <w:rFonts w:ascii="GHEA Grapalat" w:hAnsi="GHEA Grapalat" w:cs="Sylfaen"/>
                <w:i/>
                <w:sz w:val="18"/>
                <w:szCs w:val="18"/>
              </w:rPr>
              <w:t>Աղբյուրը՝ ՀՀ ԿԲ, ՀՀ ՖՆ հաշվարկներ</w:t>
            </w:r>
            <w:r w:rsidRPr="00CB396C" w:rsidDel="00B027E9">
              <w:rPr>
                <w:rFonts w:ascii="GHEA Grapalat" w:eastAsia="GHEA Grapalat" w:hAnsi="GHEA Grapalat" w:cs="GHEA Grapalat"/>
                <w:b/>
                <w:i/>
                <w:sz w:val="18"/>
                <w:szCs w:val="20"/>
              </w:rPr>
              <w:t xml:space="preserve"> </w:t>
            </w:r>
          </w:p>
        </w:tc>
      </w:tr>
    </w:tbl>
    <w:p w:rsidR="001E086D" w:rsidRPr="00CB396C" w:rsidRDefault="001E086D" w:rsidP="00CB2150">
      <w:pPr>
        <w:spacing w:line="360" w:lineRule="auto"/>
        <w:ind w:firstLine="567"/>
        <w:jc w:val="both"/>
        <w:rPr>
          <w:rFonts w:ascii="GHEA Grapalat" w:hAnsi="GHEA Grapalat" w:cs="GHEA Grapalat"/>
          <w:sz w:val="22"/>
          <w:szCs w:val="22"/>
        </w:rPr>
      </w:pPr>
    </w:p>
    <w:p w:rsidR="00D87203" w:rsidRPr="00CB396C" w:rsidRDefault="00D87203" w:rsidP="00CB2150">
      <w:pPr>
        <w:spacing w:line="360" w:lineRule="auto"/>
        <w:ind w:firstLine="567"/>
        <w:jc w:val="both"/>
        <w:rPr>
          <w:rFonts w:ascii="GHEA Grapalat" w:hAnsi="GHEA Grapalat" w:cs="Sylfaen"/>
          <w:sz w:val="22"/>
          <w:szCs w:val="22"/>
        </w:rPr>
      </w:pPr>
      <w:r w:rsidRPr="00CB396C">
        <w:rPr>
          <w:rFonts w:ascii="GHEA Grapalat" w:eastAsia="GHEA Grapalat" w:hAnsi="GHEA Grapalat" w:cs="GHEA Grapalat"/>
          <w:b/>
          <w:i/>
          <w:sz w:val="22"/>
          <w:szCs w:val="22"/>
        </w:rPr>
        <w:t>Արդյունավետ փոխարժեքներ:</w:t>
      </w:r>
      <w:r w:rsidRPr="00CB396C">
        <w:rPr>
          <w:rFonts w:ascii="GHEA Grapalat" w:eastAsia="GHEA Grapalat" w:hAnsi="GHEA Grapalat" w:cs="GHEA Grapalat"/>
          <w:sz w:val="22"/>
          <w:szCs w:val="22"/>
        </w:rPr>
        <w:t xml:space="preserve"> </w:t>
      </w:r>
      <w:r w:rsidRPr="00CB396C">
        <w:rPr>
          <w:rFonts w:ascii="GHEA Grapalat" w:eastAsia="Calibri" w:hAnsi="GHEA Grapalat"/>
          <w:sz w:val="22"/>
          <w:szCs w:val="22"/>
        </w:rPr>
        <w:t xml:space="preserve">ՀՀ արտաքին առևտրի տեսանկյունից առավել կարևոր արժույթներից բաղկացած զամբյուղի </w:t>
      </w:r>
      <w:r w:rsidRPr="00CB396C">
        <w:rPr>
          <w:rFonts w:ascii="GHEA Grapalat" w:hAnsi="GHEA Grapalat" w:cs="GHEA Grapalat"/>
          <w:sz w:val="22"/>
          <w:szCs w:val="22"/>
        </w:rPr>
        <w:t>նկատմամբ</w:t>
      </w:r>
      <w:r w:rsidRPr="00CB396C">
        <w:rPr>
          <w:rFonts w:ascii="GHEA Grapalat" w:eastAsia="Calibri" w:hAnsi="GHEA Grapalat"/>
          <w:sz w:val="22"/>
          <w:szCs w:val="22"/>
        </w:rPr>
        <w:t xml:space="preserve"> ՀՀ ազգային արժույթն</w:t>
      </w:r>
      <w:r w:rsidRPr="00CB396C">
        <w:rPr>
          <w:rFonts w:ascii="GHEA Grapalat" w:eastAsia="Calibri" w:hAnsi="GHEA Grapalat" w:cs="Sylfaen"/>
          <w:sz w:val="22"/>
          <w:szCs w:val="22"/>
        </w:rPr>
        <w:t xml:space="preserve"> անվանական արտահայտությամբ 2023 թվակաի առաջին եռամսյակում</w:t>
      </w:r>
      <w:r w:rsidR="001E086D" w:rsidRPr="00CB396C">
        <w:rPr>
          <w:rFonts w:ascii="GHEA Grapalat" w:eastAsia="Calibri" w:hAnsi="GHEA Grapalat" w:cs="Sylfaen"/>
          <w:sz w:val="22"/>
          <w:szCs w:val="22"/>
        </w:rPr>
        <w:t xml:space="preserve"> </w:t>
      </w:r>
      <w:r w:rsidRPr="00CB396C">
        <w:rPr>
          <w:rFonts w:ascii="GHEA Grapalat" w:eastAsia="GHEA Grapalat" w:hAnsi="GHEA Grapalat" w:cs="GHEA Grapalat"/>
          <w:sz w:val="22"/>
          <w:szCs w:val="22"/>
        </w:rPr>
        <w:t>արժևորվել է</w:t>
      </w:r>
      <w:r w:rsidRPr="00CB396C">
        <w:rPr>
          <w:rFonts w:ascii="GHEA Grapalat" w:eastAsia="Calibri" w:hAnsi="GHEA Grapalat" w:cs="Sylfaen"/>
          <w:sz w:val="22"/>
          <w:szCs w:val="22"/>
        </w:rPr>
        <w:t xml:space="preserve"> 40.4%-ով, իսկ իրական արտահայտությամբ՝ 35%-ով:</w:t>
      </w:r>
    </w:p>
    <w:p w:rsidR="00AE25A7" w:rsidRPr="00CB396C" w:rsidRDefault="00AE25A7" w:rsidP="00A40FA7">
      <w:pPr>
        <w:spacing w:line="360" w:lineRule="auto"/>
        <w:ind w:firstLine="567"/>
        <w:jc w:val="both"/>
        <w:rPr>
          <w:rFonts w:ascii="GHEA Grapalat" w:hAnsi="GHEA Grapalat" w:cs="GHEA Grapalat"/>
          <w:sz w:val="22"/>
          <w:szCs w:val="22"/>
        </w:rPr>
      </w:pPr>
    </w:p>
    <w:p w:rsidR="00563135" w:rsidRPr="00CB396C" w:rsidRDefault="00563135" w:rsidP="00563135">
      <w:pPr>
        <w:pStyle w:val="Heading6"/>
        <w:ind w:left="567"/>
        <w:rPr>
          <w:rFonts w:ascii="GHEA Grapalat" w:hAnsi="GHEA Grapalat"/>
          <w:b/>
          <w:sz w:val="22"/>
          <w:szCs w:val="22"/>
          <w:u w:val="none"/>
        </w:rPr>
      </w:pPr>
      <w:bookmarkStart w:id="27" w:name="_Toc6389323"/>
      <w:bookmarkStart w:id="28" w:name="_Toc37763590"/>
      <w:bookmarkStart w:id="29" w:name="_Toc71311887"/>
      <w:r w:rsidRPr="00CB396C">
        <w:rPr>
          <w:rFonts w:ascii="GHEA Grapalat" w:hAnsi="GHEA Grapalat"/>
          <w:b/>
          <w:sz w:val="22"/>
          <w:szCs w:val="22"/>
          <w:u w:val="none"/>
        </w:rPr>
        <w:t>Ֆինանսական շուկա</w:t>
      </w:r>
      <w:bookmarkEnd w:id="27"/>
      <w:bookmarkEnd w:id="28"/>
      <w:r w:rsidRPr="00CB396C">
        <w:rPr>
          <w:rFonts w:ascii="GHEA Grapalat" w:hAnsi="GHEA Grapalat"/>
          <w:b/>
          <w:sz w:val="22"/>
          <w:szCs w:val="22"/>
          <w:u w:val="none"/>
        </w:rPr>
        <w:t>ներ</w:t>
      </w:r>
      <w:r w:rsidRPr="00CB396C">
        <w:rPr>
          <w:rFonts w:ascii="GHEA Grapalat" w:hAnsi="GHEA Grapalat"/>
          <w:b/>
          <w:sz w:val="22"/>
          <w:szCs w:val="22"/>
          <w:u w:val="none"/>
          <w:vertAlign w:val="superscript"/>
        </w:rPr>
        <w:footnoteReference w:id="18"/>
      </w:r>
      <w:bookmarkEnd w:id="29"/>
    </w:p>
    <w:p w:rsidR="00262F9B" w:rsidRPr="00CB396C" w:rsidRDefault="00262F9B" w:rsidP="00CB2150">
      <w:pPr>
        <w:spacing w:line="360" w:lineRule="auto"/>
        <w:ind w:firstLine="567"/>
        <w:jc w:val="both"/>
        <w:rPr>
          <w:rFonts w:ascii="GHEA Grapalat" w:eastAsia="Calibri" w:hAnsi="GHEA Grapalat" w:cs="Sylfaen"/>
          <w:sz w:val="22"/>
          <w:szCs w:val="22"/>
          <w:lang w:val="hy-AM"/>
        </w:rPr>
      </w:pPr>
      <w:r w:rsidRPr="00CB396C">
        <w:rPr>
          <w:rFonts w:ascii="GHEA Grapalat" w:hAnsi="GHEA Grapalat" w:cs="GHEA Grapalat"/>
          <w:b/>
          <w:i/>
          <w:sz w:val="22"/>
          <w:szCs w:val="22"/>
          <w:lang w:val="hy-AM"/>
        </w:rPr>
        <w:t>Վարկեր և ավանդներ:</w:t>
      </w:r>
      <w:r w:rsidRPr="00CB396C">
        <w:rPr>
          <w:rFonts w:ascii="GHEA Grapalat" w:hAnsi="GHEA Grapalat" w:cs="GHEA Grapalat"/>
          <w:sz w:val="22"/>
          <w:szCs w:val="22"/>
          <w:lang w:val="hy-AM"/>
        </w:rPr>
        <w:t xml:space="preserve"> </w:t>
      </w:r>
      <w:r w:rsidRPr="00CB396C">
        <w:rPr>
          <w:rFonts w:ascii="GHEA Grapalat" w:eastAsia="Calibri" w:hAnsi="GHEA Grapalat" w:cs="Sylfaen"/>
          <w:bCs/>
          <w:sz w:val="22"/>
          <w:szCs w:val="22"/>
          <w:lang w:val="hy-AM"/>
        </w:rPr>
        <w:t xml:space="preserve">2023 թվականի </w:t>
      </w:r>
      <w:r w:rsidR="001E086D" w:rsidRPr="00CB396C">
        <w:rPr>
          <w:rFonts w:ascii="GHEA Grapalat" w:eastAsia="Calibri" w:hAnsi="GHEA Grapalat" w:cs="Sylfaen"/>
          <w:bCs/>
          <w:sz w:val="22"/>
          <w:szCs w:val="22"/>
        </w:rPr>
        <w:t>առաջ</w:t>
      </w:r>
      <w:r w:rsidRPr="00CB396C">
        <w:rPr>
          <w:rFonts w:ascii="GHEA Grapalat" w:eastAsia="Calibri" w:hAnsi="GHEA Grapalat" w:cs="Sylfaen"/>
          <w:bCs/>
          <w:sz w:val="22"/>
          <w:szCs w:val="22"/>
          <w:lang w:val="hy-AM"/>
        </w:rPr>
        <w:t>ին եռամսյակում վարկերի ծավալների աճի տեմպը շարունակել է արագանալ։</w:t>
      </w:r>
      <w:r w:rsidRPr="00CB396C">
        <w:rPr>
          <w:rFonts w:ascii="GHEA Grapalat" w:eastAsia="Calibri" w:hAnsi="GHEA Grapalat" w:cs="Sylfaen"/>
          <w:sz w:val="22"/>
          <w:szCs w:val="22"/>
          <w:lang w:val="hy-AM"/>
        </w:rPr>
        <w:t xml:space="preserve"> 2023 թվականի մարտին առևտրային բանկերի կողմից ռեզիդենտներին տրամադրված վարկերի ծավալների աճը կազմել է 7.6%</w:t>
      </w:r>
      <w:r w:rsidRPr="00CB396C">
        <w:rPr>
          <w:rFonts w:ascii="GHEA Grapalat" w:eastAsia="Calibri" w:hAnsi="GHEA Grapalat" w:cs="Sylfaen"/>
          <w:sz w:val="22"/>
          <w:szCs w:val="22"/>
          <w:vertAlign w:val="superscript"/>
        </w:rPr>
        <w:footnoteReference w:id="19"/>
      </w:r>
      <w:r w:rsidRPr="00CB396C">
        <w:rPr>
          <w:rFonts w:ascii="GHEA Grapalat" w:eastAsia="Calibri" w:hAnsi="GHEA Grapalat" w:cs="Sylfaen"/>
          <w:sz w:val="22"/>
          <w:szCs w:val="22"/>
          <w:lang w:val="hy-AM"/>
        </w:rPr>
        <w:t>՝ 2022 թվականի մարտին արձանագրված 0.4% անկման համեմատ: Նշված ցուցանիշին 13.7 տոկոսային կետով նպաստել է դրամային վարկերի աճը, իսկ արտարժութային վարկերն ունեցել են բացասական նպաստում՝ 6.1 տոկոսային կետով (արտարժութային վարկերը դրամային արտահայտությամբ նվազել են 12.9%-ով՝ պայմանավորված ԱՄՆ դոլարի նկատմամբ դրամի արժևորմամբ): Դրամի արժևորման գործոնով ճշգրտելուց հետո ռեզիդենտներին տրված վարկերի մեծության աճի տեմպը մարտ ամսին կկազմի 17.2%։</w:t>
      </w:r>
    </w:p>
    <w:p w:rsidR="00262F9B" w:rsidRPr="00CB396C" w:rsidRDefault="00262F9B" w:rsidP="00B56DB2">
      <w:pPr>
        <w:pStyle w:val="a"/>
        <w:numPr>
          <w:ilvl w:val="0"/>
          <w:numId w:val="16"/>
        </w:numPr>
        <w:rPr>
          <w:lang w:val="hy-AM"/>
        </w:rPr>
      </w:pPr>
      <w:r w:rsidRPr="00CB396C">
        <w:rPr>
          <w:lang w:val="hy-AM"/>
        </w:rPr>
        <w:lastRenderedPageBreak/>
        <w:t>Ռեզիդենտների վարկերի և ավանդների ծավալների աճը (նախորդ տարվա նկատմամբ, %)</w:t>
      </w:r>
      <w:r w:rsidRPr="00CB396C">
        <w:rPr>
          <w:vertAlign w:val="superscript"/>
        </w:rPr>
        <w:footnoteReference w:id="20"/>
      </w:r>
    </w:p>
    <w:p w:rsidR="00262F9B" w:rsidRPr="00CB396C" w:rsidRDefault="00262F9B" w:rsidP="00262F9B">
      <w:pPr>
        <w:jc w:val="both"/>
        <w:rPr>
          <w:rFonts w:ascii="GHEA Grapalat" w:eastAsia="Calibri" w:hAnsi="GHEA Grapalat" w:cs="Sylfaen"/>
          <w:sz w:val="22"/>
          <w:szCs w:val="22"/>
          <w:lang w:val="hy-AM"/>
        </w:rPr>
      </w:pPr>
      <w:r w:rsidRPr="00CB396C">
        <w:rPr>
          <w:rFonts w:ascii="GHEA Grapalat" w:hAnsi="GHEA Grapalat"/>
          <w:noProof/>
          <w:sz w:val="28"/>
        </w:rPr>
        <w:drawing>
          <wp:inline distT="0" distB="0" distL="0" distR="0" wp14:anchorId="641221EE" wp14:editId="26AC8785">
            <wp:extent cx="3024000" cy="2880000"/>
            <wp:effectExtent l="0" t="0" r="5080" b="1587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CB396C">
        <w:rPr>
          <w:rFonts w:ascii="GHEA Grapalat" w:eastAsia="Calibri" w:hAnsi="GHEA Grapalat" w:cs="Sylfaen"/>
          <w:sz w:val="22"/>
          <w:szCs w:val="22"/>
          <w:lang w:val="hy-AM"/>
        </w:rPr>
        <w:t xml:space="preserve"> </w:t>
      </w:r>
      <w:r w:rsidRPr="00CB396C">
        <w:rPr>
          <w:rFonts w:ascii="GHEA Grapalat" w:hAnsi="GHEA Grapalat"/>
          <w:noProof/>
          <w:sz w:val="28"/>
        </w:rPr>
        <w:drawing>
          <wp:inline distT="0" distB="0" distL="0" distR="0" wp14:anchorId="43D7CDE9" wp14:editId="49034041">
            <wp:extent cx="3024000" cy="2880000"/>
            <wp:effectExtent l="0" t="0" r="5080" b="15875"/>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2F9B" w:rsidRPr="00CB396C" w:rsidRDefault="00262F9B" w:rsidP="00262F9B">
      <w:pPr>
        <w:spacing w:after="120" w:line="360" w:lineRule="auto"/>
        <w:jc w:val="both"/>
        <w:rPr>
          <w:rFonts w:ascii="GHEA Grapalat" w:eastAsia="Calibri" w:hAnsi="GHEA Grapalat" w:cs="Sylfaen"/>
          <w:sz w:val="22"/>
          <w:szCs w:val="22"/>
          <w:lang w:val="hy-AM"/>
        </w:rPr>
      </w:pPr>
      <w:r w:rsidRPr="00CB396C">
        <w:rPr>
          <w:rFonts w:ascii="GHEA Grapalat" w:hAnsi="GHEA Grapalat" w:cs="Sylfaen"/>
          <w:i/>
          <w:sz w:val="18"/>
          <w:szCs w:val="18"/>
          <w:lang w:val="hy-AM"/>
        </w:rPr>
        <w:t xml:space="preserve">Աղբյուրը՝ ՀՀ ԿԲ և ՀՀ ՖՆ հաշվարկներ: </w:t>
      </w:r>
    </w:p>
    <w:p w:rsidR="006C6E64" w:rsidRPr="00CB396C" w:rsidRDefault="006C6E64"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 xml:space="preserve">Վարկերի աճը </w:t>
      </w:r>
      <w:r w:rsidRPr="00146D21">
        <w:rPr>
          <w:rFonts w:ascii="GHEA Grapalat" w:hAnsi="GHEA Grapalat" w:cs="GHEA Grapalat"/>
          <w:sz w:val="22"/>
          <w:szCs w:val="22"/>
          <w:lang w:val="hy-AM"/>
        </w:rPr>
        <w:t>հիմնականում</w:t>
      </w:r>
      <w:r w:rsidRPr="00CB396C">
        <w:rPr>
          <w:rFonts w:ascii="GHEA Grapalat" w:eastAsia="Calibri" w:hAnsi="GHEA Grapalat" w:cs="Sylfaen"/>
          <w:sz w:val="22"/>
          <w:szCs w:val="22"/>
          <w:lang w:val="hy-AM"/>
        </w:rPr>
        <w:t xml:space="preserve"> պայմանավորվել է </w:t>
      </w:r>
      <w:r w:rsidR="006C6E64" w:rsidRPr="00CB396C">
        <w:rPr>
          <w:rFonts w:ascii="GHEA Grapalat" w:eastAsia="Calibri" w:hAnsi="GHEA Grapalat" w:cs="Sylfaen"/>
          <w:sz w:val="22"/>
          <w:szCs w:val="22"/>
          <w:lang w:val="hy-AM"/>
        </w:rPr>
        <w:t>հի</w:t>
      </w:r>
      <w:r w:rsidR="006C6E64" w:rsidRPr="00146D21">
        <w:rPr>
          <w:rFonts w:ascii="GHEA Grapalat" w:eastAsia="Calibri" w:hAnsi="GHEA Grapalat" w:cs="Sylfaen"/>
          <w:sz w:val="22"/>
          <w:szCs w:val="22"/>
          <w:lang w:val="hy-AM"/>
        </w:rPr>
        <w:t>պոտ</w:t>
      </w:r>
      <w:r w:rsidRPr="00CB396C">
        <w:rPr>
          <w:rFonts w:ascii="GHEA Grapalat" w:eastAsia="Calibri" w:hAnsi="GHEA Grapalat" w:cs="Sylfaen"/>
          <w:sz w:val="22"/>
          <w:szCs w:val="22"/>
          <w:lang w:val="hy-AM"/>
        </w:rPr>
        <w:t>եկային (աճը՝ 28.6%, նպաստումը՝ 5.4 տոկոսային կետ), սպառողական (աճը՝ 11.3%, նպաստումը՝ 2.6 տոկոսային կետ) վարկերով, շինարարության (աճը՝ 16.4%, նպաստումը՝ 1.4 տոկոսային կետ) և գյուղատնտեսության վարկերով (աճը՝ 7.5%, նպաստումը՝ 0.4 տոկոսային կետ), իսկ տրանսպորտի և կապի, սպասարկման, առևտրի և արդյունաբերության ոլորտներին ուղղված վարկերը բացասական նպաստում են ունեցել (համապատասխանաբար 0.6, 1.2, 0.5 և 1 տոկոսային կետով):</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bCs/>
          <w:sz w:val="22"/>
          <w:szCs w:val="22"/>
          <w:lang w:val="hy-AM"/>
        </w:rPr>
        <w:t xml:space="preserve">2023 թվականի </w:t>
      </w:r>
      <w:r w:rsidR="006C6E64" w:rsidRPr="00146D21">
        <w:rPr>
          <w:rFonts w:ascii="GHEA Grapalat" w:eastAsia="Calibri" w:hAnsi="GHEA Grapalat" w:cs="Sylfaen"/>
          <w:bCs/>
          <w:sz w:val="22"/>
          <w:szCs w:val="22"/>
          <w:lang w:val="hy-AM"/>
        </w:rPr>
        <w:t>առաջ</w:t>
      </w:r>
      <w:r w:rsidRPr="00CB396C">
        <w:rPr>
          <w:rFonts w:ascii="GHEA Grapalat" w:eastAsia="Calibri" w:hAnsi="GHEA Grapalat" w:cs="Sylfaen"/>
          <w:bCs/>
          <w:sz w:val="22"/>
          <w:szCs w:val="22"/>
          <w:lang w:val="hy-AM"/>
        </w:rPr>
        <w:t xml:space="preserve">ին եռամսյակում ավանդների </w:t>
      </w:r>
      <w:r w:rsidR="006C6E64" w:rsidRPr="00CB396C">
        <w:rPr>
          <w:rFonts w:ascii="GHEA Grapalat" w:eastAsia="Calibri" w:hAnsi="GHEA Grapalat" w:cs="Sylfaen"/>
          <w:bCs/>
          <w:sz w:val="22"/>
          <w:szCs w:val="22"/>
          <w:lang w:val="hy-AM"/>
        </w:rPr>
        <w:t>ծավալներ</w:t>
      </w:r>
      <w:r w:rsidR="006C6E64" w:rsidRPr="00146D21">
        <w:rPr>
          <w:rFonts w:ascii="GHEA Grapalat" w:eastAsia="Calibri" w:hAnsi="GHEA Grapalat" w:cs="Sylfaen"/>
          <w:bCs/>
          <w:sz w:val="22"/>
          <w:szCs w:val="22"/>
          <w:lang w:val="hy-AM"/>
        </w:rPr>
        <w:t>ի</w:t>
      </w:r>
      <w:r w:rsidRPr="00CB396C">
        <w:rPr>
          <w:rFonts w:ascii="GHEA Grapalat" w:eastAsia="Calibri" w:hAnsi="GHEA Grapalat" w:cs="Sylfaen"/>
          <w:bCs/>
          <w:sz w:val="22"/>
          <w:szCs w:val="22"/>
          <w:lang w:val="hy-AM"/>
        </w:rPr>
        <w:t xml:space="preserve"> աճի տեմպը ևս շարունակել է արագանալ։</w:t>
      </w:r>
      <w:r w:rsidR="006E27DC" w:rsidRPr="00CB396C">
        <w:rPr>
          <w:rFonts w:ascii="GHEA Grapalat" w:eastAsia="Calibri" w:hAnsi="GHEA Grapalat" w:cs="Sylfaen"/>
          <w:b/>
          <w:bCs/>
          <w:sz w:val="22"/>
          <w:szCs w:val="22"/>
          <w:lang w:val="hy-AM"/>
        </w:rPr>
        <w:t xml:space="preserve"> </w:t>
      </w:r>
      <w:r w:rsidRPr="00CB396C">
        <w:rPr>
          <w:rFonts w:ascii="GHEA Grapalat" w:eastAsia="Calibri" w:hAnsi="GHEA Grapalat" w:cs="Sylfaen"/>
          <w:sz w:val="22"/>
          <w:szCs w:val="22"/>
          <w:lang w:val="hy-AM"/>
        </w:rPr>
        <w:t>Առևտրային բանկերի կողմից ռեզիդենտներից ներգրավված ավանդներն աճել են 20.8%</w:t>
      </w:r>
      <w:r w:rsidRPr="00CB396C">
        <w:rPr>
          <w:rFonts w:ascii="GHEA Grapalat" w:eastAsia="Calibri" w:hAnsi="GHEA Grapalat" w:cs="Sylfaen"/>
          <w:sz w:val="22"/>
          <w:szCs w:val="22"/>
          <w:lang w:val="hy-AM"/>
        </w:rPr>
        <w:noBreakHyphen/>
        <w:t xml:space="preserve">ով, որին նպաստել է ինչպես տնային տնտեսությունների, այնպես էլ ձեռնարկությունների ավանդների աճը՝ </w:t>
      </w:r>
      <w:r w:rsidRPr="00146D21">
        <w:rPr>
          <w:rFonts w:ascii="GHEA Grapalat" w:hAnsi="GHEA Grapalat" w:cs="GHEA Grapalat"/>
          <w:sz w:val="22"/>
          <w:szCs w:val="22"/>
          <w:lang w:val="hy-AM"/>
        </w:rPr>
        <w:t>համապատասխանաբար</w:t>
      </w:r>
      <w:r w:rsidRPr="00CB396C">
        <w:rPr>
          <w:rFonts w:ascii="GHEA Grapalat" w:eastAsia="Calibri" w:hAnsi="GHEA Grapalat" w:cs="Sylfaen"/>
          <w:sz w:val="22"/>
          <w:szCs w:val="22"/>
          <w:lang w:val="hy-AM"/>
        </w:rPr>
        <w:t xml:space="preserve"> 7.9 և 6.8 տոկոսային կետով։ Արժութային կառուցվածքի տեսակետից 9.2 տոկոսային կետով դրական նպաստում է ունեցել դրամային ավանդների աճը, իսկ արտարժութային ավանդների նպաստումը կազմել է 11.6 տոկոսային կետ (</w:t>
      </w:r>
      <w:r w:rsidR="006C6E64" w:rsidRPr="00146D21">
        <w:rPr>
          <w:rFonts w:ascii="GHEA Grapalat" w:eastAsia="Calibri" w:hAnsi="GHEA Grapalat" w:cs="Sylfaen"/>
          <w:sz w:val="22"/>
          <w:szCs w:val="22"/>
          <w:lang w:val="hy-AM"/>
        </w:rPr>
        <w:t>փ</w:t>
      </w:r>
      <w:r w:rsidRPr="00CB396C">
        <w:rPr>
          <w:rFonts w:ascii="GHEA Grapalat" w:eastAsia="Calibri" w:hAnsi="GHEA Grapalat" w:cs="Sylfaen"/>
          <w:sz w:val="22"/>
          <w:szCs w:val="22"/>
          <w:lang w:val="hy-AM"/>
        </w:rPr>
        <w:t xml:space="preserve">ոխարժեքի արժևորման ազդեցությունը ճշգրտելու դեպքում ռեզիդենտների ավանդների աճի տեմպը կկազմի 34%): Ռեզիդենտների ավանդների աճը գրեթե ամբողջությամբ տեղի է ունեցել ցպահանջ ավանդների հաշվին։ Վերջիններիս նպաստումը ռեզիդենտների ավանդային պորտֆելի աճին կազմել է 19.8 </w:t>
      </w:r>
      <w:r w:rsidRPr="00CB396C">
        <w:rPr>
          <w:rFonts w:ascii="GHEA Grapalat" w:eastAsia="Calibri" w:hAnsi="GHEA Grapalat" w:cs="Sylfaen"/>
          <w:sz w:val="22"/>
          <w:szCs w:val="22"/>
          <w:lang w:val="hy-AM"/>
        </w:rPr>
        <w:lastRenderedPageBreak/>
        <w:t>տոկոսային կետ, իսկ ժամկետային ավանդների նպաստումը՝ 1</w:t>
      </w:r>
      <w:r w:rsidR="006C6E64" w:rsidRPr="00146D21">
        <w:rPr>
          <w:rFonts w:ascii="GHEA Grapalat" w:eastAsia="Calibri" w:hAnsi="GHEA Grapalat" w:cs="Sylfaen"/>
          <w:sz w:val="22"/>
          <w:szCs w:val="22"/>
          <w:lang w:val="hy-AM"/>
        </w:rPr>
        <w:t xml:space="preserve"> տոկոս</w:t>
      </w:r>
      <w:r w:rsidRPr="00CB396C">
        <w:rPr>
          <w:rFonts w:ascii="GHEA Grapalat" w:eastAsia="Calibri" w:hAnsi="GHEA Grapalat" w:cs="Sylfaen"/>
          <w:sz w:val="22"/>
          <w:szCs w:val="22"/>
          <w:lang w:val="hy-AM"/>
        </w:rPr>
        <w:t>ային կետ։ Ոչ ռեզիդենտների ավանդների աճի տեմպը կտրուկ արագացել է՝ տարեվերջին կազմելով 54.7%, իսկ դրանց նպաստումը բանկերի ավանդային պորտֆելի աճին կազմել է 11.3</w:t>
      </w:r>
      <w:r w:rsidR="006C6E64" w:rsidRPr="00146D21">
        <w:rPr>
          <w:rFonts w:ascii="GHEA Grapalat" w:eastAsia="Calibri" w:hAnsi="GHEA Grapalat" w:cs="Sylfaen"/>
          <w:sz w:val="22"/>
          <w:szCs w:val="22"/>
          <w:lang w:val="hy-AM"/>
        </w:rPr>
        <w:t xml:space="preserve"> տոկոս</w:t>
      </w:r>
      <w:r w:rsidRPr="00CB396C">
        <w:rPr>
          <w:rFonts w:ascii="GHEA Grapalat" w:eastAsia="Calibri" w:hAnsi="GHEA Grapalat" w:cs="Sylfaen"/>
          <w:sz w:val="22"/>
          <w:szCs w:val="22"/>
          <w:lang w:val="hy-AM"/>
        </w:rPr>
        <w:t xml:space="preserve">ային կետ, ինչն արտահայտում է դեպի ՀՀ միջազգային այցելուների, ինչպես նաև աշխատանքային նպատակներով տեղափոխված անձանցով պայմանավորված արտարժութային հոսքերը դեպի ՀՀ։ </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2023 թվականի</w:t>
      </w:r>
      <w:r w:rsidR="006C6E64" w:rsidRPr="00CB396C">
        <w:rPr>
          <w:rFonts w:ascii="GHEA Grapalat" w:eastAsia="Calibri" w:hAnsi="GHEA Grapalat" w:cs="Sylfaen"/>
          <w:sz w:val="22"/>
          <w:szCs w:val="22"/>
          <w:lang w:val="hy-AM"/>
        </w:rPr>
        <w:t xml:space="preserve"> </w:t>
      </w:r>
      <w:r w:rsidR="006C6E64" w:rsidRPr="00146D21">
        <w:rPr>
          <w:rFonts w:ascii="GHEA Grapalat" w:eastAsia="Calibri" w:hAnsi="GHEA Grapalat" w:cs="Sylfaen"/>
          <w:sz w:val="22"/>
          <w:szCs w:val="22"/>
          <w:lang w:val="hy-AM"/>
        </w:rPr>
        <w:t>առաջ</w:t>
      </w:r>
      <w:r w:rsidRPr="00CB396C">
        <w:rPr>
          <w:rFonts w:ascii="GHEA Grapalat" w:eastAsia="Calibri" w:hAnsi="GHEA Grapalat" w:cs="Sylfaen"/>
          <w:sz w:val="22"/>
          <w:szCs w:val="22"/>
          <w:lang w:val="hy-AM"/>
        </w:rPr>
        <w:t xml:space="preserve">ին եռամսյակի ընթացքում ավանդների դոլարայնացման մակարդակն աճել է, իսկ վարկերինը՝ նվազել՝ հիմնականում պայմանավորված ԱՄՆ դոլարի նկատմամբ ՀՀ դրամի արժևորմամբ: </w:t>
      </w:r>
      <w:r w:rsidRPr="00146D21">
        <w:rPr>
          <w:rFonts w:ascii="GHEA Grapalat" w:hAnsi="GHEA Grapalat" w:cs="GHEA Grapalat"/>
          <w:sz w:val="22"/>
          <w:szCs w:val="22"/>
          <w:lang w:val="hy-AM"/>
        </w:rPr>
        <w:t>Ռեզիդենտների</w:t>
      </w:r>
      <w:r w:rsidRPr="00CB396C">
        <w:rPr>
          <w:rFonts w:ascii="GHEA Grapalat" w:eastAsia="Calibri" w:hAnsi="GHEA Grapalat" w:cs="Sylfaen"/>
          <w:sz w:val="22"/>
          <w:szCs w:val="22"/>
          <w:lang w:val="hy-AM"/>
        </w:rPr>
        <w:t xml:space="preserve"> արտարժութային ավանդներ/ընդամենը ավանդներ հարաբերակցությունը նախորդ տարվա համեմատ աճել է 0.2 տոկոսային կետով՝ կազմելով 43.5%, իսկ ռեզիդենտների վարկավորման ընդհանուր կառուցվածքում արտարժույթով վարկերի կշիռը նվազել է 8.8 տոկոսային կետով՝ կազմելով 35.4%։ Առանց դրամի արժևորման՝ ավանդների դոլարայնացումը կաճեր 5.7 տոկոսային կետով, իսկ վարկերի դոլարայնացումը կնվազեր 3.1 տոկոսային կետով՝ պայմանավորված առաջին դեպքում արտարժութային ավանդների, և երկրորդ դեպքում՝ դրամային վարկերի առաջանցիկ աճերով</w:t>
      </w:r>
      <w:r w:rsidRPr="00CB396C">
        <w:rPr>
          <w:rFonts w:ascii="GHEA Grapalat" w:eastAsia="Calibri" w:hAnsi="GHEA Grapalat" w:cs="Sylfaen"/>
          <w:sz w:val="22"/>
          <w:szCs w:val="22"/>
          <w:vertAlign w:val="superscript"/>
        </w:rPr>
        <w:footnoteReference w:id="21"/>
      </w:r>
      <w:r w:rsidRPr="00CB396C">
        <w:rPr>
          <w:rFonts w:ascii="GHEA Grapalat" w:eastAsia="Calibri" w:hAnsi="GHEA Grapalat" w:cs="Sylfaen"/>
          <w:sz w:val="22"/>
          <w:szCs w:val="22"/>
          <w:lang w:val="hy-AM"/>
        </w:rPr>
        <w:t>։</w:t>
      </w:r>
    </w:p>
    <w:p w:rsidR="006C6E64" w:rsidRPr="00CB396C" w:rsidRDefault="006C6E64"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BB6A15">
      <w:pPr>
        <w:pStyle w:val="a"/>
        <w:rPr>
          <w:rFonts w:ascii="Cambria Math" w:hAnsi="Cambria Math"/>
          <w:lang w:val="hy-AM"/>
        </w:rPr>
      </w:pPr>
      <w:r w:rsidRPr="00CB396C">
        <w:rPr>
          <w:lang w:val="hy-AM"/>
        </w:rPr>
        <w:t>ՀՀ բանկերի վարկային և ավանդային պորտֆելները, 2018թ.-ից 2023թ</w:t>
      </w:r>
      <w:r w:rsidRPr="00CB396C">
        <w:rPr>
          <w:rFonts w:ascii="Cambria Math" w:hAnsi="Cambria Math" w:cs="Cambria Math"/>
          <w:lang w:val="hy-AM"/>
        </w:rPr>
        <w:t>․</w:t>
      </w:r>
      <w:r w:rsidRPr="00CB396C">
        <w:rPr>
          <w:lang w:val="hy-AM"/>
        </w:rPr>
        <w:t xml:space="preserve"> մարտ</w:t>
      </w:r>
    </w:p>
    <w:p w:rsidR="00262F9B" w:rsidRPr="00CB396C" w:rsidRDefault="00262F9B" w:rsidP="00262F9B">
      <w:pPr>
        <w:spacing w:line="360" w:lineRule="auto"/>
        <w:jc w:val="both"/>
        <w:rPr>
          <w:rFonts w:ascii="GHEA Grapalat" w:eastAsia="Calibri" w:hAnsi="GHEA Grapalat" w:cs="Sylfaen"/>
          <w:sz w:val="22"/>
          <w:szCs w:val="22"/>
          <w:lang w:val="hy-AM"/>
        </w:rPr>
      </w:pPr>
      <w:r w:rsidRPr="00CB396C">
        <w:rPr>
          <w:rFonts w:ascii="GHEA Grapalat" w:eastAsia="Calibri" w:hAnsi="GHEA Grapalat" w:cs="Sylfaen"/>
          <w:noProof/>
          <w:sz w:val="22"/>
          <w:szCs w:val="22"/>
        </w:rPr>
        <w:drawing>
          <wp:inline distT="0" distB="0" distL="0" distR="0" wp14:anchorId="1CC4EAF0" wp14:editId="4975AD30">
            <wp:extent cx="3057525" cy="320040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B396C">
        <w:rPr>
          <w:rFonts w:ascii="GHEA Grapalat" w:eastAsia="Calibri" w:hAnsi="GHEA Grapalat" w:cs="Sylfaen"/>
          <w:sz w:val="22"/>
          <w:szCs w:val="22"/>
          <w:lang w:val="hy-AM"/>
        </w:rPr>
        <w:t xml:space="preserve"> </w:t>
      </w:r>
      <w:r w:rsidRPr="00CB396C">
        <w:rPr>
          <w:rFonts w:ascii="GHEA Grapalat" w:eastAsia="Calibri" w:hAnsi="GHEA Grapalat" w:cs="Sylfaen"/>
          <w:noProof/>
          <w:sz w:val="22"/>
          <w:szCs w:val="22"/>
        </w:rPr>
        <w:drawing>
          <wp:inline distT="0" distB="0" distL="0" distR="0" wp14:anchorId="4281E686" wp14:editId="0C758597">
            <wp:extent cx="314325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2F9B" w:rsidRPr="00CB396C" w:rsidRDefault="00262F9B" w:rsidP="00262F9B">
      <w:pPr>
        <w:spacing w:after="120" w:line="360" w:lineRule="auto"/>
        <w:jc w:val="both"/>
        <w:rPr>
          <w:rFonts w:ascii="GHEA Grapalat" w:eastAsia="Calibri" w:hAnsi="GHEA Grapalat" w:cs="Sylfaen"/>
          <w:i/>
          <w:iCs/>
          <w:sz w:val="22"/>
          <w:szCs w:val="22"/>
          <w:lang w:val="hy-AM"/>
        </w:rPr>
      </w:pPr>
      <w:r w:rsidRPr="00CB396C">
        <w:rPr>
          <w:rFonts w:ascii="GHEA Grapalat" w:hAnsi="GHEA Grapalat"/>
          <w:i/>
          <w:iCs/>
          <w:sz w:val="18"/>
          <w:szCs w:val="18"/>
          <w:lang w:val="hy-AM"/>
        </w:rPr>
        <w:t>Աղբյուրը՝ ՀՀ ԿԲ, ՀՀ ՖՆ հաշվարկներ</w:t>
      </w:r>
    </w:p>
    <w:p w:rsidR="006C6E64" w:rsidRPr="00CB396C" w:rsidRDefault="006C6E64" w:rsidP="00262F9B">
      <w:pPr>
        <w:spacing w:line="360" w:lineRule="auto"/>
        <w:ind w:firstLine="567"/>
        <w:jc w:val="both"/>
        <w:rPr>
          <w:rFonts w:ascii="GHEA Grapalat" w:hAnsi="GHEA Grapalat" w:cs="GHEA Grapalat"/>
          <w:b/>
          <w:i/>
          <w:sz w:val="22"/>
          <w:szCs w:val="22"/>
          <w:lang w:val="hy-AM"/>
        </w:rPr>
      </w:pP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hAnsi="GHEA Grapalat" w:cs="GHEA Grapalat"/>
          <w:b/>
          <w:i/>
          <w:sz w:val="22"/>
          <w:szCs w:val="22"/>
          <w:lang w:val="hy-AM"/>
        </w:rPr>
        <w:lastRenderedPageBreak/>
        <w:t>Վարկերի և ավանդների տոկոսադրույքներ:</w:t>
      </w:r>
      <w:r w:rsidRPr="00CB396C">
        <w:rPr>
          <w:rFonts w:ascii="GHEA Grapalat" w:hAnsi="GHEA Grapalat" w:cs="GHEA Grapalat"/>
          <w:sz w:val="22"/>
          <w:szCs w:val="22"/>
          <w:lang w:val="hy-AM"/>
        </w:rPr>
        <w:t xml:space="preserve"> </w:t>
      </w:r>
      <w:r w:rsidRPr="00CB396C">
        <w:rPr>
          <w:rFonts w:ascii="GHEA Grapalat" w:eastAsia="Calibri" w:hAnsi="GHEA Grapalat" w:cs="Sylfaen"/>
          <w:bCs/>
          <w:sz w:val="22"/>
          <w:szCs w:val="22"/>
          <w:lang w:val="hy-AM"/>
        </w:rPr>
        <w:t>2023 թ</w:t>
      </w:r>
      <w:r w:rsidR="006C6E64" w:rsidRPr="00146D21">
        <w:rPr>
          <w:rFonts w:ascii="GHEA Grapalat" w:eastAsia="Calibri" w:hAnsi="GHEA Grapalat" w:cs="Sylfaen"/>
          <w:bCs/>
          <w:sz w:val="22"/>
          <w:szCs w:val="22"/>
          <w:lang w:val="hy-AM"/>
        </w:rPr>
        <w:t>վականի</w:t>
      </w:r>
      <w:r w:rsidRPr="00CB396C">
        <w:rPr>
          <w:rFonts w:ascii="GHEA Grapalat" w:eastAsia="Calibri" w:hAnsi="GHEA Grapalat" w:cs="Sylfaen"/>
          <w:bCs/>
          <w:sz w:val="22"/>
          <w:szCs w:val="22"/>
          <w:lang w:val="hy-AM"/>
        </w:rPr>
        <w:t xml:space="preserve"> </w:t>
      </w:r>
      <w:r w:rsidR="006C6E64" w:rsidRPr="00146D21">
        <w:rPr>
          <w:rFonts w:ascii="GHEA Grapalat" w:eastAsia="Calibri" w:hAnsi="GHEA Grapalat" w:cs="Sylfaen"/>
          <w:bCs/>
          <w:sz w:val="22"/>
          <w:szCs w:val="22"/>
          <w:lang w:val="hy-AM"/>
        </w:rPr>
        <w:t>առաջ</w:t>
      </w:r>
      <w:r w:rsidRPr="00CB396C">
        <w:rPr>
          <w:rFonts w:ascii="GHEA Grapalat" w:eastAsia="Calibri" w:hAnsi="GHEA Grapalat" w:cs="Sylfaen"/>
          <w:bCs/>
          <w:sz w:val="22"/>
          <w:szCs w:val="22"/>
          <w:lang w:val="hy-AM"/>
        </w:rPr>
        <w:t>ին եռամսյակում ֆինանսական շուկայում տոկոսադրույքների միտումներ</w:t>
      </w:r>
      <w:r w:rsidR="006C6E64" w:rsidRPr="00146D21">
        <w:rPr>
          <w:rFonts w:ascii="GHEA Grapalat" w:eastAsia="Calibri" w:hAnsi="GHEA Grapalat" w:cs="Sylfaen"/>
          <w:bCs/>
          <w:sz w:val="22"/>
          <w:szCs w:val="22"/>
          <w:lang w:val="hy-AM"/>
        </w:rPr>
        <w:t>ն</w:t>
      </w:r>
      <w:r w:rsidRPr="00CB396C">
        <w:rPr>
          <w:rFonts w:ascii="GHEA Grapalat" w:eastAsia="Calibri" w:hAnsi="GHEA Grapalat" w:cs="Sylfaen"/>
          <w:bCs/>
          <w:sz w:val="22"/>
          <w:szCs w:val="22"/>
          <w:lang w:val="hy-AM"/>
        </w:rPr>
        <w:t xml:space="preserve"> անհստակ են եղել, քանի որ վերաֆինանսավորման տոկոսադրույքի բարձրացումը ճնշում է գործադրել աճի, իսկ ՀՀ բանկային համակարգ արտաքին հատվածից մուտք գործած զգալի իրացվելիությունը՝ նվազման ուղղությամբ։</w:t>
      </w:r>
      <w:r w:rsidRPr="00CB396C">
        <w:rPr>
          <w:rFonts w:ascii="GHEA Grapalat" w:eastAsia="Calibri" w:hAnsi="GHEA Grapalat" w:cs="Sylfaen"/>
          <w:b/>
          <w:bCs/>
          <w:sz w:val="22"/>
          <w:szCs w:val="22"/>
          <w:lang w:val="hy-AM"/>
        </w:rPr>
        <w:t xml:space="preserve"> </w:t>
      </w:r>
      <w:r w:rsidRPr="00CB396C">
        <w:rPr>
          <w:rFonts w:ascii="GHEA Grapalat" w:eastAsia="Calibri" w:hAnsi="GHEA Grapalat" w:cs="Sylfaen"/>
          <w:sz w:val="22"/>
          <w:szCs w:val="22"/>
          <w:lang w:val="hy-AM"/>
        </w:rPr>
        <w:t>2023 թվականի առաջին եռամսյակում ՀՀ դրամով վարկավորման (մինչև մեկ տարի ժամկետով) միջին տարեկան տոկոսադրույքը կազմել է 12%՝ նախորդ տարվա նույն ժամանակահատվածի համեմատ նկատմամբ նվազելով 0.3 տոկոսային կետով: ՀՀ դրամային ավանդների (մինչև մեկ տարի ժամկետով) միջին տոկոսադրույքը կազմել է 8.3%՝ աճելով 0.4 տոկոսային կետով:</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Արտարժույթով ավանդների (մինչև մեկ տարի ժամկետով) տոկոսադրույք</w:t>
      </w:r>
      <w:r w:rsidR="006C6E64" w:rsidRPr="00146D21">
        <w:rPr>
          <w:rFonts w:ascii="GHEA Grapalat" w:eastAsia="Calibri" w:hAnsi="GHEA Grapalat" w:cs="Sylfaen"/>
          <w:sz w:val="22"/>
          <w:szCs w:val="22"/>
          <w:lang w:val="hy-AM"/>
        </w:rPr>
        <w:t>ն</w:t>
      </w:r>
      <w:r w:rsidRPr="00CB396C">
        <w:rPr>
          <w:rFonts w:ascii="GHEA Grapalat" w:eastAsia="Calibri" w:hAnsi="GHEA Grapalat" w:cs="Sylfaen"/>
          <w:sz w:val="22"/>
          <w:szCs w:val="22"/>
          <w:lang w:val="hy-AM"/>
        </w:rPr>
        <w:t xml:space="preserve"> աճել է 0.4</w:t>
      </w:r>
      <w:r w:rsidR="006C6E64" w:rsidRPr="00146D21">
        <w:rPr>
          <w:rFonts w:ascii="GHEA Grapalat" w:eastAsia="Calibri" w:hAnsi="GHEA Grapalat" w:cs="Sylfaen"/>
          <w:sz w:val="22"/>
          <w:szCs w:val="22"/>
          <w:lang w:val="hy-AM"/>
        </w:rPr>
        <w:t xml:space="preserve"> տոկոս</w:t>
      </w:r>
      <w:r w:rsidRPr="00CB396C">
        <w:rPr>
          <w:rFonts w:ascii="GHEA Grapalat" w:eastAsia="Calibri" w:hAnsi="GHEA Grapalat" w:cs="Sylfaen"/>
          <w:sz w:val="22"/>
          <w:szCs w:val="22"/>
          <w:lang w:val="hy-AM"/>
        </w:rPr>
        <w:t>ային կետով՝ կազմելով 2․4%, իսկ վարկերի տոկոսադրույքը նվազել է</w:t>
      </w:r>
      <w:r w:rsidR="006C6E64" w:rsidRPr="00CB396C">
        <w:rPr>
          <w:rFonts w:ascii="GHEA Grapalat" w:eastAsia="Calibri" w:hAnsi="GHEA Grapalat" w:cs="Sylfaen"/>
          <w:sz w:val="22"/>
          <w:szCs w:val="22"/>
          <w:lang w:val="hy-AM"/>
        </w:rPr>
        <w:t xml:space="preserve"> 0․4</w:t>
      </w:r>
      <w:r w:rsidR="006C6E64" w:rsidRPr="00146D21">
        <w:rPr>
          <w:rFonts w:ascii="GHEA Grapalat" w:eastAsia="Calibri" w:hAnsi="GHEA Grapalat" w:cs="Sylfaen"/>
          <w:sz w:val="22"/>
          <w:szCs w:val="22"/>
          <w:lang w:val="hy-AM"/>
        </w:rPr>
        <w:t xml:space="preserve"> տոկոս</w:t>
      </w:r>
      <w:r w:rsidRPr="00CB396C">
        <w:rPr>
          <w:rFonts w:ascii="GHEA Grapalat" w:eastAsia="Calibri" w:hAnsi="GHEA Grapalat" w:cs="Sylfaen"/>
          <w:sz w:val="22"/>
          <w:szCs w:val="22"/>
          <w:lang w:val="hy-AM"/>
        </w:rPr>
        <w:t xml:space="preserve">ային կետով՝ կազմելով 7.4%: </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 xml:space="preserve">Ֆինանսական շուկայում արտարժույթով և դրամով միջին կշռված մինչև 1 տարի ժամկետով տոկոսադրույքների միջև միջին սպրեդը 2023 թվականի </w:t>
      </w:r>
      <w:r w:rsidR="006C6E64" w:rsidRPr="00CB396C">
        <w:rPr>
          <w:rFonts w:ascii="GHEA Grapalat" w:eastAsia="Calibri" w:hAnsi="GHEA Grapalat" w:cs="Sylfaen"/>
          <w:sz w:val="22"/>
          <w:szCs w:val="22"/>
          <w:lang w:val="hy-AM"/>
        </w:rPr>
        <w:t>առաջ</w:t>
      </w:r>
      <w:r w:rsidRPr="00CB396C">
        <w:rPr>
          <w:rFonts w:ascii="GHEA Grapalat" w:eastAsia="Calibri" w:hAnsi="GHEA Grapalat" w:cs="Sylfaen"/>
          <w:sz w:val="22"/>
          <w:szCs w:val="22"/>
          <w:lang w:val="hy-AM"/>
        </w:rPr>
        <w:t>ին եռամսյակում նախորդ տարվա նույն ժամանակահատվածի նկատմամբ աճել է 0.4 տոկոսային կետով և կազմել</w:t>
      </w:r>
      <w:r w:rsidR="006C6E64" w:rsidRPr="00CB396C">
        <w:rPr>
          <w:rFonts w:ascii="GHEA Grapalat" w:eastAsia="Calibri" w:hAnsi="GHEA Grapalat" w:cs="Sylfaen"/>
          <w:sz w:val="22"/>
          <w:szCs w:val="22"/>
          <w:lang w:val="hy-AM"/>
        </w:rPr>
        <w:t xml:space="preserve"> </w:t>
      </w:r>
      <w:r w:rsidR="006C6E64" w:rsidRPr="00146D21">
        <w:rPr>
          <w:rFonts w:ascii="GHEA Grapalat" w:eastAsia="Calibri" w:hAnsi="GHEA Grapalat" w:cs="Sylfaen"/>
          <w:sz w:val="22"/>
          <w:szCs w:val="22"/>
          <w:lang w:val="hy-AM"/>
        </w:rPr>
        <w:t xml:space="preserve">5.3 </w:t>
      </w:r>
      <w:r w:rsidRPr="00CB396C">
        <w:rPr>
          <w:rFonts w:ascii="GHEA Grapalat" w:eastAsia="Calibri" w:hAnsi="GHEA Grapalat" w:cs="Sylfaen"/>
          <w:sz w:val="22"/>
          <w:szCs w:val="22"/>
          <w:lang w:val="hy-AM"/>
        </w:rPr>
        <w:t xml:space="preserve">տոկոս: Դրամով վարկերի և ավանդների միջև տոկոսադրույքների </w:t>
      </w:r>
      <w:r w:rsidR="006C6E64" w:rsidRPr="00CB396C">
        <w:rPr>
          <w:rFonts w:ascii="GHEA Grapalat" w:eastAsia="Calibri" w:hAnsi="GHEA Grapalat" w:cs="Sylfaen"/>
          <w:sz w:val="22"/>
          <w:szCs w:val="22"/>
          <w:lang w:val="hy-AM"/>
        </w:rPr>
        <w:t>սպրեդ</w:t>
      </w:r>
      <w:r w:rsidR="006C6E64" w:rsidRPr="00146D21">
        <w:rPr>
          <w:rFonts w:ascii="GHEA Grapalat" w:eastAsia="Calibri" w:hAnsi="GHEA Grapalat" w:cs="Sylfaen"/>
          <w:sz w:val="22"/>
          <w:szCs w:val="22"/>
          <w:lang w:val="hy-AM"/>
        </w:rPr>
        <w:t>ն</w:t>
      </w:r>
      <w:r w:rsidRPr="00CB396C">
        <w:rPr>
          <w:rFonts w:ascii="GHEA Grapalat" w:eastAsia="Calibri" w:hAnsi="GHEA Grapalat" w:cs="Sylfaen"/>
          <w:sz w:val="22"/>
          <w:szCs w:val="22"/>
          <w:lang w:val="hy-AM"/>
        </w:rPr>
        <w:t xml:space="preserve"> աճել է 0.2 տոկոսային կետով՝ մինչև 3.7 տոկոսային կետ, իսկ արտարժույթով վարկերի և ավանդների սպրեդը նվազել է 0.5</w:t>
      </w:r>
      <w:r w:rsidR="006C6E64" w:rsidRPr="00146D21">
        <w:rPr>
          <w:rFonts w:ascii="GHEA Grapalat" w:eastAsia="Calibri" w:hAnsi="GHEA Grapalat" w:cs="Sylfaen"/>
          <w:sz w:val="22"/>
          <w:szCs w:val="22"/>
          <w:lang w:val="hy-AM"/>
        </w:rPr>
        <w:t xml:space="preserve"> տոկոս</w:t>
      </w:r>
      <w:r w:rsidRPr="00CB396C">
        <w:rPr>
          <w:rFonts w:ascii="GHEA Grapalat" w:eastAsia="Calibri" w:hAnsi="GHEA Grapalat" w:cs="Sylfaen"/>
          <w:sz w:val="22"/>
          <w:szCs w:val="22"/>
          <w:lang w:val="hy-AM"/>
        </w:rPr>
        <w:t>ային կետով՝ կազմելով 5.1 տոկոսային կետ:</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hAnsi="GHEA Grapalat" w:cs="GHEA Grapalat"/>
          <w:b/>
          <w:i/>
          <w:sz w:val="22"/>
          <w:szCs w:val="22"/>
          <w:lang w:val="hy-AM"/>
        </w:rPr>
        <w:t>ՀՀ պետական պարտատոմսերի շուկա:</w:t>
      </w:r>
      <w:r w:rsidRPr="00CB396C">
        <w:rPr>
          <w:rFonts w:ascii="GHEA Grapalat" w:hAnsi="GHEA Grapalat" w:cs="GHEA Grapalat"/>
          <w:sz w:val="22"/>
          <w:szCs w:val="22"/>
          <w:lang w:val="hy-AM"/>
        </w:rPr>
        <w:t xml:space="preserve"> </w:t>
      </w:r>
      <w:r w:rsidRPr="00CB396C">
        <w:rPr>
          <w:rFonts w:ascii="GHEA Grapalat" w:eastAsia="Calibri" w:hAnsi="GHEA Grapalat" w:cs="Sylfaen"/>
          <w:bCs/>
          <w:sz w:val="22"/>
          <w:szCs w:val="22"/>
          <w:lang w:val="hy-AM"/>
        </w:rPr>
        <w:t>ՀՀ պետական պարտատոմսերի շուկայում նախորդ տարվա նույն ժամանակահատվածի համեմատությամբ ՊՊ տեղաբաշխման միջին կշռված եկամտաբերությունները զգալիորեն աճել են</w:t>
      </w:r>
      <w:r w:rsidR="006C6E64" w:rsidRPr="00146D21">
        <w:rPr>
          <w:rFonts w:ascii="GHEA Grapalat" w:eastAsia="Calibri" w:hAnsi="GHEA Grapalat" w:cs="Sylfaen"/>
          <w:bCs/>
          <w:sz w:val="22"/>
          <w:szCs w:val="22"/>
          <w:lang w:val="hy-AM"/>
        </w:rPr>
        <w:t>՝</w:t>
      </w:r>
      <w:r w:rsidRPr="00CB396C">
        <w:rPr>
          <w:rFonts w:ascii="GHEA Grapalat" w:eastAsia="Calibri" w:hAnsi="GHEA Grapalat" w:cs="Sylfaen"/>
          <w:bCs/>
          <w:sz w:val="22"/>
          <w:szCs w:val="22"/>
          <w:lang w:val="hy-AM"/>
        </w:rPr>
        <w:t xml:space="preserve"> պայմանավորված իրականացված զսպող դրամավարկային քաղաքականությամբ, մինչդեռ 2022</w:t>
      </w:r>
      <w:r w:rsidR="00CF6B6A" w:rsidRPr="00146D21">
        <w:rPr>
          <w:rFonts w:ascii="GHEA Grapalat" w:eastAsia="Calibri" w:hAnsi="GHEA Grapalat" w:cs="Sylfaen"/>
          <w:bCs/>
          <w:sz w:val="22"/>
          <w:szCs w:val="22"/>
          <w:lang w:val="hy-AM"/>
        </w:rPr>
        <w:t xml:space="preserve"> </w:t>
      </w:r>
      <w:r w:rsidRPr="00CB396C">
        <w:rPr>
          <w:rFonts w:ascii="GHEA Grapalat" w:eastAsia="Calibri" w:hAnsi="GHEA Grapalat" w:cs="Sylfaen"/>
          <w:bCs/>
          <w:sz w:val="22"/>
          <w:szCs w:val="22"/>
          <w:lang w:val="hy-AM"/>
        </w:rPr>
        <w:t>թ</w:t>
      </w:r>
      <w:r w:rsidR="00CF6B6A" w:rsidRPr="00146D21">
        <w:rPr>
          <w:rFonts w:ascii="GHEA Grapalat" w:eastAsia="Calibri" w:hAnsi="GHEA Grapalat" w:cs="Sylfaen"/>
          <w:bCs/>
          <w:sz w:val="22"/>
          <w:szCs w:val="22"/>
          <w:lang w:val="hy-AM"/>
        </w:rPr>
        <w:t>վական</w:t>
      </w:r>
      <w:r w:rsidRPr="00CB396C">
        <w:rPr>
          <w:rFonts w:ascii="GHEA Grapalat" w:eastAsia="Calibri" w:hAnsi="GHEA Grapalat" w:cs="Sylfaen"/>
          <w:bCs/>
          <w:sz w:val="22"/>
          <w:szCs w:val="22"/>
          <w:lang w:val="hy-AM"/>
        </w:rPr>
        <w:t>ի վերջի համեմատությամբ նվազման որոշակի միտումներ են արձանագրվել։</w:t>
      </w:r>
      <w:r w:rsidRPr="00CB396C">
        <w:rPr>
          <w:rFonts w:ascii="GHEA Grapalat" w:eastAsia="Calibri" w:hAnsi="GHEA Grapalat" w:cs="Sylfaen"/>
          <w:sz w:val="22"/>
          <w:szCs w:val="22"/>
          <w:lang w:val="hy-AM"/>
        </w:rPr>
        <w:t xml:space="preserve"> Եթե 2022 թվականի </w:t>
      </w:r>
      <w:r w:rsidR="00CF6B6A" w:rsidRPr="00CB396C">
        <w:rPr>
          <w:rFonts w:ascii="GHEA Grapalat" w:eastAsia="Calibri" w:hAnsi="GHEA Grapalat" w:cs="Sylfaen"/>
          <w:sz w:val="22"/>
          <w:szCs w:val="22"/>
          <w:lang w:val="hy-AM"/>
        </w:rPr>
        <w:t>առաջին</w:t>
      </w:r>
      <w:r w:rsidRPr="00CB396C">
        <w:rPr>
          <w:rFonts w:ascii="GHEA Grapalat" w:eastAsia="Calibri" w:hAnsi="GHEA Grapalat" w:cs="Sylfaen"/>
          <w:sz w:val="22"/>
          <w:szCs w:val="22"/>
          <w:lang w:val="hy-AM"/>
        </w:rPr>
        <w:t xml:space="preserve"> եռամսյակում տեղաբաշխված պետական պարտատոմսերի միջին կշռված եկամտաբերությունը կազմել էր 10.2%, ապա 2023 թվականի նույն ժամանակահատվածում այն կազմել է 11.8% կամ շուրջ 1.6 տոկոսային կետով ավելի:</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 xml:space="preserve">2023 թվականի </w:t>
      </w:r>
      <w:r w:rsidR="00CF6B6A" w:rsidRPr="00CB396C">
        <w:rPr>
          <w:rFonts w:ascii="GHEA Grapalat" w:eastAsia="Calibri" w:hAnsi="GHEA Grapalat" w:cs="Sylfaen"/>
          <w:sz w:val="22"/>
          <w:szCs w:val="22"/>
          <w:lang w:val="hy-AM"/>
        </w:rPr>
        <w:t>առաջին</w:t>
      </w:r>
      <w:r w:rsidRPr="00CB396C">
        <w:rPr>
          <w:rFonts w:ascii="GHEA Grapalat" w:eastAsia="Calibri" w:hAnsi="GHEA Grapalat" w:cs="Sylfaen"/>
          <w:sz w:val="22"/>
          <w:szCs w:val="22"/>
          <w:lang w:val="hy-AM"/>
        </w:rPr>
        <w:t xml:space="preserve"> եռամսյակում տեղաբաշխված պետական պարտատոմսերի ծավալը կազմել է 113․7 մլրդ դրամ՝ 2022 թվականի նույն ժամանակահատվածի </w:t>
      </w:r>
      <w:r w:rsidRPr="00CB396C">
        <w:rPr>
          <w:rFonts w:ascii="GHEA Grapalat" w:eastAsia="GHEA Grapalat" w:hAnsi="GHEA Grapalat" w:cs="GHEA Grapalat"/>
          <w:sz w:val="22"/>
          <w:szCs w:val="22"/>
          <w:lang w:val="hy-AM"/>
        </w:rPr>
        <w:t xml:space="preserve">109.1 </w:t>
      </w:r>
      <w:r w:rsidRPr="00CB396C">
        <w:rPr>
          <w:rFonts w:ascii="GHEA Grapalat" w:eastAsia="Calibri" w:hAnsi="GHEA Grapalat" w:cs="Sylfaen"/>
          <w:sz w:val="22"/>
          <w:szCs w:val="22"/>
          <w:lang w:val="hy-AM"/>
        </w:rPr>
        <w:t xml:space="preserve">մլրդ դրամի դիմաց, իսկ տեղաբաշխման միջին կշռված ժամկետայնությունը` 924 օր՝ 2022 թվականի նույն ժամանակահատվածի </w:t>
      </w:r>
      <w:r w:rsidRPr="00CB396C">
        <w:rPr>
          <w:rFonts w:ascii="GHEA Grapalat" w:eastAsia="GHEA Grapalat" w:hAnsi="GHEA Grapalat" w:cs="GHEA Grapalat"/>
          <w:sz w:val="22"/>
          <w:szCs w:val="22"/>
          <w:lang w:val="hy-AM"/>
        </w:rPr>
        <w:t xml:space="preserve">2102 </w:t>
      </w:r>
      <w:r w:rsidRPr="00CB396C">
        <w:rPr>
          <w:rFonts w:ascii="GHEA Grapalat" w:eastAsia="Calibri" w:hAnsi="GHEA Grapalat" w:cs="Sylfaen"/>
          <w:sz w:val="22"/>
          <w:szCs w:val="22"/>
          <w:lang w:val="hy-AM"/>
        </w:rPr>
        <w:t>օր ցուցանիշի համեմատ:</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r w:rsidRPr="00CB396C">
        <w:rPr>
          <w:rFonts w:ascii="GHEA Grapalat" w:eastAsia="Calibri" w:hAnsi="GHEA Grapalat" w:cs="Sylfaen"/>
          <w:sz w:val="22"/>
          <w:szCs w:val="22"/>
          <w:lang w:val="hy-AM"/>
        </w:rPr>
        <w:t>2023 թ</w:t>
      </w:r>
      <w:r w:rsidR="00CF6B6A" w:rsidRPr="00146D21">
        <w:rPr>
          <w:rFonts w:ascii="GHEA Grapalat" w:eastAsia="Calibri" w:hAnsi="GHEA Grapalat" w:cs="Sylfaen"/>
          <w:sz w:val="22"/>
          <w:szCs w:val="22"/>
          <w:lang w:val="hy-AM"/>
        </w:rPr>
        <w:t>վականի</w:t>
      </w:r>
      <w:r w:rsidRPr="00CB396C">
        <w:rPr>
          <w:rFonts w:ascii="GHEA Grapalat" w:eastAsia="Calibri" w:hAnsi="GHEA Grapalat" w:cs="Sylfaen"/>
          <w:sz w:val="22"/>
          <w:szCs w:val="22"/>
          <w:lang w:val="hy-AM"/>
        </w:rPr>
        <w:t xml:space="preserve"> </w:t>
      </w:r>
      <w:r w:rsidR="00CF6B6A" w:rsidRPr="00CB396C">
        <w:rPr>
          <w:rFonts w:ascii="GHEA Grapalat" w:eastAsia="Calibri" w:hAnsi="GHEA Grapalat" w:cs="Sylfaen"/>
          <w:sz w:val="22"/>
          <w:szCs w:val="22"/>
          <w:lang w:val="hy-AM"/>
        </w:rPr>
        <w:t>առաջին</w:t>
      </w:r>
      <w:r w:rsidRPr="00CB396C">
        <w:rPr>
          <w:rFonts w:ascii="GHEA Grapalat" w:eastAsia="Calibri" w:hAnsi="GHEA Grapalat" w:cs="Sylfaen"/>
          <w:sz w:val="22"/>
          <w:szCs w:val="22"/>
          <w:lang w:val="hy-AM"/>
        </w:rPr>
        <w:t xml:space="preserve"> եռամսյակում պետական (շուկայական) պարտատոմսերի նկատմամբ պահանջարկը գերազանցել է տեղաբաշխման ցուցանիշը 2.3 անգամ (2022 թվականի նույն ժամանակահատվածում՝ 1.8 անգամ), իսկ տեղաբաշխման ենթակա ծավալ/տեղաբաշխված ծավալ միջին հարաբերակցությունը կազմել է 1.33 (2022 թվականի նույն ժամանակահատվածում` 1.13):</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BB6A15">
      <w:pPr>
        <w:pStyle w:val="a"/>
        <w:rPr>
          <w:rFonts w:eastAsia="Calibri"/>
          <w:lang w:val="hy-AM"/>
        </w:rPr>
      </w:pPr>
      <w:r w:rsidRPr="00CB396C">
        <w:rPr>
          <w:lang w:val="hy-AM"/>
        </w:rPr>
        <w:t>ՀՀ</w:t>
      </w:r>
      <w:r w:rsidR="006E27DC" w:rsidRPr="00CB396C">
        <w:rPr>
          <w:lang w:val="hy-AM"/>
        </w:rPr>
        <w:t xml:space="preserve"> </w:t>
      </w:r>
      <w:r w:rsidRPr="00CB396C">
        <w:rPr>
          <w:lang w:val="hy-AM"/>
        </w:rPr>
        <w:t>պետական պարտատոմսերի առաջնային շուկայի զարգացումները 2018թ.-ից 2023թ</w:t>
      </w:r>
      <w:r w:rsidRPr="00CB396C">
        <w:rPr>
          <w:rFonts w:ascii="Cambria Math" w:hAnsi="Cambria Math" w:cs="Cambria Math"/>
          <w:lang w:val="hy-AM"/>
        </w:rPr>
        <w:t>․</w:t>
      </w:r>
      <w:r w:rsidRPr="00CB396C">
        <w:rPr>
          <w:lang w:val="hy-AM"/>
        </w:rPr>
        <w:t xml:space="preserve"> մարտ </w:t>
      </w:r>
    </w:p>
    <w:p w:rsidR="00262F9B" w:rsidRPr="00CB396C" w:rsidRDefault="00262F9B" w:rsidP="00262F9B">
      <w:pPr>
        <w:spacing w:line="360" w:lineRule="auto"/>
        <w:jc w:val="both"/>
        <w:rPr>
          <w:rFonts w:ascii="GHEA Grapalat" w:eastAsia="Calibri" w:hAnsi="GHEA Grapalat" w:cs="Sylfaen"/>
          <w:sz w:val="22"/>
          <w:szCs w:val="22"/>
        </w:rPr>
      </w:pPr>
      <w:r w:rsidRPr="00CB396C">
        <w:rPr>
          <w:rFonts w:ascii="GHEA Grapalat" w:eastAsia="Calibri" w:hAnsi="GHEA Grapalat" w:cs="Sylfaen"/>
          <w:noProof/>
          <w:sz w:val="22"/>
          <w:szCs w:val="22"/>
        </w:rPr>
        <w:drawing>
          <wp:inline distT="0" distB="0" distL="0" distR="0" wp14:anchorId="13929C58" wp14:editId="7A848F11">
            <wp:extent cx="3190875" cy="320040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B396C">
        <w:rPr>
          <w:rFonts w:ascii="GHEA Grapalat" w:eastAsia="Calibri" w:hAnsi="GHEA Grapalat" w:cs="Sylfaen"/>
          <w:noProof/>
          <w:sz w:val="22"/>
          <w:szCs w:val="22"/>
        </w:rPr>
        <w:drawing>
          <wp:inline distT="0" distB="0" distL="0" distR="0" wp14:anchorId="4A717ABB" wp14:editId="7E7E4600">
            <wp:extent cx="3190875" cy="320040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2F9B" w:rsidRPr="00CB396C" w:rsidRDefault="00262F9B" w:rsidP="00262F9B">
      <w:pPr>
        <w:spacing w:after="120" w:line="360" w:lineRule="auto"/>
        <w:jc w:val="both"/>
        <w:rPr>
          <w:rFonts w:ascii="GHEA Grapalat" w:eastAsia="Calibri" w:hAnsi="GHEA Grapalat" w:cs="Sylfaen"/>
          <w:sz w:val="22"/>
          <w:szCs w:val="22"/>
        </w:rPr>
      </w:pPr>
      <w:r w:rsidRPr="00CB396C">
        <w:rPr>
          <w:rFonts w:ascii="GHEA Grapalat" w:hAnsi="GHEA Grapalat"/>
          <w:i/>
          <w:sz w:val="18"/>
          <w:szCs w:val="18"/>
        </w:rPr>
        <w:t>Աղբյուրը՝ ՀՀ ՖՆ</w:t>
      </w:r>
    </w:p>
    <w:p w:rsidR="00262F9B" w:rsidRPr="00CB396C" w:rsidRDefault="00262F9B" w:rsidP="00262F9B">
      <w:pPr>
        <w:spacing w:line="360" w:lineRule="auto"/>
        <w:ind w:firstLine="567"/>
        <w:jc w:val="both"/>
        <w:rPr>
          <w:rFonts w:ascii="GHEA Grapalat" w:eastAsia="Calibri" w:hAnsi="GHEA Grapalat" w:cs="Sylfaen"/>
          <w:sz w:val="22"/>
          <w:szCs w:val="22"/>
          <w:lang w:val="hy-AM"/>
        </w:rPr>
      </w:pPr>
    </w:p>
    <w:p w:rsidR="00262F9B" w:rsidRPr="00CB396C" w:rsidRDefault="00262F9B" w:rsidP="00262F9B">
      <w:pPr>
        <w:spacing w:line="360" w:lineRule="auto"/>
        <w:ind w:firstLine="567"/>
        <w:jc w:val="both"/>
        <w:rPr>
          <w:rFonts w:ascii="GHEA Grapalat" w:eastAsia="Calibri" w:hAnsi="GHEA Grapalat" w:cs="Sylfaen"/>
          <w:sz w:val="22"/>
          <w:szCs w:val="22"/>
        </w:rPr>
      </w:pPr>
      <w:r w:rsidRPr="00CB396C">
        <w:rPr>
          <w:rFonts w:ascii="GHEA Grapalat" w:hAnsi="GHEA Grapalat" w:cs="GHEA Grapalat"/>
          <w:b/>
          <w:i/>
          <w:sz w:val="22"/>
          <w:szCs w:val="22"/>
        </w:rPr>
        <w:t>ՀՀ եվրապարտատոմսերի երկրորդային շուկա:</w:t>
      </w:r>
      <w:r w:rsidRPr="00CB396C">
        <w:rPr>
          <w:rFonts w:ascii="GHEA Grapalat" w:hAnsi="GHEA Grapalat" w:cs="GHEA Grapalat"/>
          <w:sz w:val="22"/>
          <w:szCs w:val="22"/>
        </w:rPr>
        <w:t xml:space="preserve"> </w:t>
      </w:r>
      <w:r w:rsidRPr="00CB396C">
        <w:rPr>
          <w:rFonts w:ascii="GHEA Grapalat" w:eastAsia="Calibri" w:hAnsi="GHEA Grapalat" w:cs="Sylfaen"/>
          <w:bCs/>
          <w:sz w:val="22"/>
          <w:szCs w:val="22"/>
        </w:rPr>
        <w:t>ՀՀ եվրապարտատոմսերի երկրորդային շուկայում եկամտաբերությունները 2023 թվականի առաջին եռամսյակում նախորդ տարվա նույն եռամսյակի համեմատությամբ զգալիորեն բարձր մակարդակում են ձևավորվել՝ չնայած որի երկրի ռիսկի հավելավճարը նվազել է։</w:t>
      </w:r>
      <w:r w:rsidRPr="00CB396C">
        <w:rPr>
          <w:rFonts w:ascii="GHEA Grapalat" w:eastAsia="Calibri" w:hAnsi="GHEA Grapalat" w:cs="Sylfaen"/>
          <w:b/>
          <w:bCs/>
          <w:sz w:val="22"/>
          <w:szCs w:val="22"/>
        </w:rPr>
        <w:t xml:space="preserve"> </w:t>
      </w:r>
      <w:r w:rsidRPr="00CB396C">
        <w:rPr>
          <w:rFonts w:ascii="GHEA Grapalat" w:eastAsia="Calibri" w:hAnsi="GHEA Grapalat" w:cs="Sylfaen"/>
          <w:sz w:val="22"/>
          <w:szCs w:val="22"/>
        </w:rPr>
        <w:t xml:space="preserve">Միջազգային կապիտալի շուկայում 2015 թվականին 7.5% եկամտաբերությամբ թողարկված պետական արտարժութային պարտատոմսերի եկամտաբերությունը 2023 թվականի </w:t>
      </w:r>
      <w:r w:rsidR="00CF6B6A" w:rsidRPr="00CB396C">
        <w:rPr>
          <w:rFonts w:ascii="GHEA Grapalat" w:eastAsia="Calibri" w:hAnsi="GHEA Grapalat" w:cs="Sylfaen"/>
          <w:sz w:val="22"/>
          <w:szCs w:val="22"/>
        </w:rPr>
        <w:t>առաջին</w:t>
      </w:r>
      <w:r w:rsidRPr="00CB396C">
        <w:rPr>
          <w:rFonts w:ascii="GHEA Grapalat" w:eastAsia="Calibri" w:hAnsi="GHEA Grapalat" w:cs="Sylfaen"/>
          <w:sz w:val="22"/>
          <w:szCs w:val="22"/>
        </w:rPr>
        <w:t xml:space="preserve"> եռամսյակում միջինում կազմել է 6.4%՝ 2022 թվականի նույն ժամանակահատվածում արձանագրված 5.1%-ի դիմաց, 2019 թվականին 4.2% եկամտաբերությամբ թողարկված պարտատոմսերի եկամտաբերությունը միջինում կազմել է 7.3%` 2022 թվականի </w:t>
      </w:r>
      <w:r w:rsidR="00CF6B6A" w:rsidRPr="00CB396C">
        <w:rPr>
          <w:rFonts w:ascii="GHEA Grapalat" w:eastAsia="Calibri" w:hAnsi="GHEA Grapalat" w:cs="Sylfaen"/>
          <w:sz w:val="22"/>
          <w:szCs w:val="22"/>
        </w:rPr>
        <w:t>առաջին</w:t>
      </w:r>
      <w:r w:rsidRPr="00CB396C">
        <w:rPr>
          <w:rFonts w:ascii="GHEA Grapalat" w:eastAsia="Calibri" w:hAnsi="GHEA Grapalat" w:cs="Sylfaen"/>
          <w:sz w:val="22"/>
          <w:szCs w:val="22"/>
        </w:rPr>
        <w:t xml:space="preserve"> եռամսյակում գրանցված 5.5%-ի դիմաց, իսկ 2021 թվականի փետրվարին 3.9% եկամտաբերությամբ թողարկված պարտատոմսերի եկամտաբերությունը միջինում կազմել է 7.3%` նախորդ տարվա նույն ժամանակահատվածի 5.8%-ի համեմատությամբ։</w:t>
      </w:r>
    </w:p>
    <w:p w:rsidR="00262F9B" w:rsidRPr="00CB396C" w:rsidRDefault="00262F9B" w:rsidP="00262F9B">
      <w:pPr>
        <w:spacing w:line="360" w:lineRule="auto"/>
        <w:ind w:firstLine="567"/>
        <w:jc w:val="both"/>
        <w:rPr>
          <w:rFonts w:ascii="GHEA Grapalat" w:eastAsia="Calibri" w:hAnsi="GHEA Grapalat" w:cs="Sylfaen"/>
          <w:sz w:val="22"/>
          <w:szCs w:val="22"/>
        </w:rPr>
      </w:pPr>
      <w:r w:rsidRPr="00CB396C">
        <w:rPr>
          <w:rFonts w:ascii="GHEA Grapalat" w:eastAsia="Calibri" w:hAnsi="GHEA Grapalat" w:cs="Sylfaen"/>
          <w:sz w:val="22"/>
          <w:szCs w:val="22"/>
        </w:rPr>
        <w:t xml:space="preserve">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կոշտացման քաղաքականությամբ։ Այսպես, ԱՄՆ 10 տարի ժամկետայնությամբ պետական պարտատոմսերի եկամտաբերությունը միջինում կազմել է 3.7%` նախորդ տարվա նույն ժամանակահատվածի 1.9%-ի համեմատությամբ։ Զարգացած երկրներում (ԱՄՆ-ում, Մեծ </w:t>
      </w:r>
      <w:r w:rsidRPr="00CB396C">
        <w:rPr>
          <w:rFonts w:ascii="GHEA Grapalat" w:eastAsia="Calibri" w:hAnsi="GHEA Grapalat" w:cs="Sylfaen"/>
          <w:sz w:val="22"/>
          <w:szCs w:val="22"/>
        </w:rPr>
        <w:lastRenderedPageBreak/>
        <w:t>Բրիտանիայում, Եվր</w:t>
      </w:r>
      <w:r w:rsidR="001D0330" w:rsidRPr="00CB396C">
        <w:rPr>
          <w:rFonts w:ascii="GHEA Grapalat" w:eastAsia="Calibri" w:hAnsi="GHEA Grapalat" w:cs="Sylfaen"/>
          <w:sz w:val="22"/>
          <w:szCs w:val="22"/>
        </w:rPr>
        <w:t>ա</w:t>
      </w:r>
      <w:r w:rsidRPr="00CB396C">
        <w:rPr>
          <w:rFonts w:ascii="GHEA Grapalat" w:eastAsia="Calibri" w:hAnsi="GHEA Grapalat" w:cs="Sylfaen"/>
          <w:sz w:val="22"/>
          <w:szCs w:val="22"/>
        </w:rPr>
        <w:t>միությունում) տոկոսադրույքների բարձրացումը, ինչպես նաև ռուս-ուկրաինական համակամարտության առաջացրած ռիսկերը հանգեցրել են զարգացող երկրներից կապիտալի արտահոսքի, ինչի արդյունքում բարձրացել է զարգացող երկրների արտարժութային պարտատոմսերի ռիսկի հավելավճարը:</w:t>
      </w:r>
    </w:p>
    <w:p w:rsidR="00262F9B" w:rsidRPr="00CB396C" w:rsidRDefault="00262F9B" w:rsidP="00262F9B">
      <w:pPr>
        <w:spacing w:line="360" w:lineRule="auto"/>
        <w:ind w:firstLine="567"/>
        <w:jc w:val="both"/>
        <w:rPr>
          <w:rFonts w:ascii="GHEA Grapalat" w:eastAsia="Calibri" w:hAnsi="GHEA Grapalat" w:cs="Sylfaen"/>
          <w:sz w:val="22"/>
          <w:szCs w:val="22"/>
        </w:rPr>
      </w:pPr>
    </w:p>
    <w:p w:rsidR="00262F9B" w:rsidRPr="00CB396C" w:rsidRDefault="00262F9B" w:rsidP="00BB6A15">
      <w:pPr>
        <w:pStyle w:val="a"/>
        <w:rPr>
          <w:rFonts w:eastAsia="Calibri"/>
        </w:rPr>
      </w:pPr>
      <w:r w:rsidRPr="00CB396C">
        <w:t>ՀՀ եվրոբոնդերի եկամտաբերությունները և ռիսկի հավելավճարը 2018թ.-ից 2023թ</w:t>
      </w:r>
      <w:r w:rsidRPr="00CB396C">
        <w:rPr>
          <w:rFonts w:ascii="Cambria Math" w:hAnsi="Cambria Math" w:cs="Cambria Math"/>
        </w:rPr>
        <w:t>․</w:t>
      </w:r>
      <w:r w:rsidRPr="00CB396C">
        <w:t xml:space="preserve"> մարտ</w:t>
      </w:r>
    </w:p>
    <w:p w:rsidR="00262F9B" w:rsidRPr="00CB396C" w:rsidRDefault="00262F9B" w:rsidP="00262F9B">
      <w:pPr>
        <w:spacing w:line="276" w:lineRule="auto"/>
        <w:jc w:val="both"/>
        <w:rPr>
          <w:rFonts w:ascii="GHEA Grapalat" w:hAnsi="GHEA Grapalat" w:cs="GHEA Grapalat"/>
          <w:sz w:val="22"/>
          <w:szCs w:val="22"/>
        </w:rPr>
      </w:pPr>
      <w:r w:rsidRPr="00CB396C">
        <w:rPr>
          <w:rFonts w:ascii="GHEA Grapalat" w:hAnsi="GHEA Grapalat" w:cs="GHEA Grapalat"/>
          <w:noProof/>
          <w:sz w:val="22"/>
          <w:szCs w:val="22"/>
        </w:rPr>
        <w:drawing>
          <wp:inline distT="0" distB="0" distL="0" distR="0" wp14:anchorId="4D5067AF" wp14:editId="20A67DD1">
            <wp:extent cx="3048000" cy="2880000"/>
            <wp:effectExtent l="0" t="0" r="0" b="158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B396C">
        <w:rPr>
          <w:rFonts w:ascii="GHEA Grapalat" w:hAnsi="GHEA Grapalat" w:cs="GHEA Grapalat"/>
          <w:noProof/>
          <w:sz w:val="22"/>
          <w:szCs w:val="22"/>
        </w:rPr>
        <w:drawing>
          <wp:inline distT="0" distB="0" distL="0" distR="0" wp14:anchorId="2E357B37" wp14:editId="54C4C0F9">
            <wp:extent cx="3162300" cy="2880000"/>
            <wp:effectExtent l="0" t="0" r="0" b="158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2F9B" w:rsidRPr="00CB396C" w:rsidRDefault="00262F9B" w:rsidP="00262F9B">
      <w:pPr>
        <w:spacing w:after="120"/>
        <w:jc w:val="both"/>
        <w:rPr>
          <w:rFonts w:ascii="GHEA Grapalat" w:hAnsi="GHEA Grapalat" w:cs="GHEA Grapalat"/>
          <w:i/>
          <w:iCs/>
          <w:sz w:val="22"/>
          <w:szCs w:val="22"/>
        </w:rPr>
      </w:pPr>
      <w:r w:rsidRPr="00CB396C">
        <w:rPr>
          <w:rFonts w:ascii="GHEA Grapalat" w:hAnsi="GHEA Grapalat"/>
          <w:i/>
          <w:iCs/>
          <w:sz w:val="18"/>
          <w:szCs w:val="18"/>
        </w:rPr>
        <w:t>Աղբյուրը՝ ՀՀ ՖՆ և Բլումբերգ։</w:t>
      </w:r>
    </w:p>
    <w:p w:rsidR="00262F9B" w:rsidRPr="00CB396C" w:rsidRDefault="00262F9B" w:rsidP="00262F9B">
      <w:pPr>
        <w:spacing w:line="360" w:lineRule="auto"/>
        <w:ind w:firstLine="567"/>
        <w:jc w:val="both"/>
        <w:rPr>
          <w:rFonts w:ascii="GHEA Grapalat" w:eastAsia="Calibri" w:hAnsi="GHEA Grapalat" w:cs="Sylfaen"/>
          <w:sz w:val="22"/>
          <w:szCs w:val="22"/>
        </w:rPr>
      </w:pPr>
    </w:p>
    <w:p w:rsidR="00262F9B" w:rsidRPr="00CB396C" w:rsidRDefault="00262F9B" w:rsidP="00262F9B">
      <w:pPr>
        <w:spacing w:line="360" w:lineRule="auto"/>
        <w:ind w:firstLine="567"/>
        <w:jc w:val="both"/>
        <w:rPr>
          <w:rFonts w:ascii="GHEA Grapalat" w:eastAsia="Calibri" w:hAnsi="GHEA Grapalat" w:cs="Sylfaen"/>
          <w:sz w:val="22"/>
          <w:szCs w:val="22"/>
        </w:rPr>
      </w:pPr>
      <w:r w:rsidRPr="00CB396C">
        <w:rPr>
          <w:rFonts w:ascii="GHEA Grapalat" w:eastAsia="Calibri" w:hAnsi="GHEA Grapalat" w:cs="Sylfaen"/>
          <w:sz w:val="22"/>
          <w:szCs w:val="22"/>
        </w:rPr>
        <w:t xml:space="preserve">ՀՀ երկրի ռիսկի հավելավճարը նախորդ տարվա առաջին եռամսյակի համեմատ փոքր-ինչ նվազել է, սակայն դեռևս պահպանվում է միջինից ավելի բարձր մակարդակներում՝ պայմանավորված ռուս-ուկրաինական հակամարտության պայմաններում տարածաշրջանի երկրներում ռիսկերի աճի գործոնով։ Մասնավորապես, 2029 թվականին մարվող եվրապարտատոմսերի ռիսկի հավելավճարը 2023 թվականի առաջին եռամսյակում կազմել է 345 բազիսային կետ՝ նախորդ տարվա նույն ժամանակահատվածի 355 տոկոսային կետ ցուցանիշի դիմաց, իսկ 2023 թվականին մարվող պարտատոմսերինը՝ 363 բազիսային կետ՝ նախորդ տարվա նույն ժամանակահատվածի 375 բազիսային կետ ցուցանիշի դիմաց։ </w:t>
      </w:r>
    </w:p>
    <w:p w:rsidR="00563135" w:rsidRPr="00CB396C" w:rsidRDefault="00563135" w:rsidP="00EA58C0">
      <w:pPr>
        <w:spacing w:line="360" w:lineRule="auto"/>
        <w:ind w:firstLine="567"/>
        <w:jc w:val="both"/>
        <w:rPr>
          <w:rFonts w:ascii="GHEA Grapalat" w:hAnsi="GHEA Grapalat" w:cs="GHEA Grapalat"/>
          <w:sz w:val="22"/>
          <w:szCs w:val="22"/>
          <w:lang w:val="hy-AM"/>
        </w:rPr>
      </w:pPr>
    </w:p>
    <w:p w:rsidR="00563135" w:rsidRPr="00CB396C"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0" w:name="_Toc71283308"/>
      <w:bookmarkStart w:id="31" w:name="_Toc71311888"/>
      <w:bookmarkStart w:id="32" w:name="_Toc165293056"/>
      <w:r w:rsidRPr="00CB396C">
        <w:rPr>
          <w:rFonts w:ascii="GHEA Grapalat" w:hAnsi="GHEA Grapalat"/>
          <w:i w:val="0"/>
          <w:noProof/>
          <w:sz w:val="22"/>
          <w:szCs w:val="22"/>
          <w:lang w:val="de-AT"/>
        </w:rPr>
        <w:t>ՀԱՐԿԱԲՅՈՒՋԵՏԱՅԻՆ ՔԱՂԱՔԱԿԱՆՈՒԹՅԱՆ ՀԻՄՆԱԿԱՆ ԶԱՐԳԱՑՈՒՄՆԵՐԸ</w:t>
      </w:r>
      <w:bookmarkEnd w:id="30"/>
      <w:bookmarkEnd w:id="31"/>
      <w:bookmarkEnd w:id="32"/>
      <w:r w:rsidRPr="00CB396C">
        <w:rPr>
          <w:rFonts w:ascii="GHEA Grapalat" w:hAnsi="GHEA Grapalat"/>
          <w:i w:val="0"/>
          <w:noProof/>
          <w:sz w:val="22"/>
          <w:szCs w:val="22"/>
          <w:lang w:val="de-AT"/>
        </w:rPr>
        <w:t xml:space="preserve"> </w:t>
      </w:r>
    </w:p>
    <w:p w:rsidR="00262F9B" w:rsidRPr="00CB396C" w:rsidRDefault="00AE25A7" w:rsidP="001D0330">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sz w:val="22"/>
          <w:szCs w:val="22"/>
          <w:lang w:val="hy-AM"/>
        </w:rPr>
        <w:t xml:space="preserve"> </w:t>
      </w:r>
      <w:bookmarkStart w:id="33" w:name="_Toc100315622"/>
      <w:r w:rsidR="00262F9B" w:rsidRPr="00CB396C">
        <w:rPr>
          <w:rFonts w:ascii="GHEA Grapalat" w:hAnsi="GHEA Grapalat" w:cs="GHEA Grapalat"/>
          <w:sz w:val="22"/>
          <w:szCs w:val="22"/>
          <w:lang w:val="hy-AM"/>
        </w:rPr>
        <w:t xml:space="preserve">2023 թվականի առաջին եռամսյակի բարձր տնտեսական աճի պայմաններում հարկաբյուջետային քաղաքականության ազդեցությունն ամբողջական պահանաջարկի վրա եղել է զսպող: Բարձր տնտեսական աճի պայմաններում հարկային եկամուտները նույնպես դրսևորել են </w:t>
      </w:r>
      <w:r w:rsidR="00262F9B" w:rsidRPr="00CB396C">
        <w:rPr>
          <w:rFonts w:ascii="GHEA Grapalat" w:hAnsi="GHEA Grapalat" w:cs="GHEA Grapalat"/>
          <w:sz w:val="22"/>
          <w:szCs w:val="22"/>
          <w:lang w:val="hy-AM"/>
        </w:rPr>
        <w:lastRenderedPageBreak/>
        <w:t xml:space="preserve">բարձր աճ, իսկ բյուջեի ծախսերի աճը տնտեսական աճի համեմատ եղել է էապես ավելի ցածր՝ ամբողջական պահանջարկի վրա ունենալով զսպող ազդեցություն: </w:t>
      </w:r>
    </w:p>
    <w:p w:rsidR="00262F9B" w:rsidRPr="00CB396C" w:rsidRDefault="00262F9B" w:rsidP="001D0330">
      <w:pPr>
        <w:spacing w:line="360" w:lineRule="auto"/>
        <w:ind w:firstLine="567"/>
        <w:jc w:val="both"/>
        <w:rPr>
          <w:rFonts w:ascii="GHEA Grapalat" w:hAnsi="GHEA Grapalat" w:cs="GHEA Grapalat"/>
          <w:sz w:val="22"/>
          <w:szCs w:val="22"/>
          <w:lang w:val="hy-AM"/>
        </w:rPr>
      </w:pPr>
      <w:r w:rsidRPr="00CB396C">
        <w:rPr>
          <w:rFonts w:ascii="GHEA Grapalat" w:hAnsi="GHEA Grapalat" w:cs="GHEA Grapalat"/>
          <w:b/>
          <w:i/>
          <w:sz w:val="22"/>
          <w:szCs w:val="22"/>
          <w:lang w:val="hy-AM"/>
        </w:rPr>
        <w:t>Պետական բյուջեի եկամուտները:</w:t>
      </w:r>
      <w:r w:rsidRPr="00CB396C">
        <w:rPr>
          <w:rFonts w:ascii="GHEA Grapalat" w:hAnsi="GHEA Grapalat" w:cs="GHEA Grapalat"/>
          <w:sz w:val="22"/>
          <w:szCs w:val="22"/>
          <w:lang w:val="hy-AM"/>
        </w:rPr>
        <w:t xml:space="preserve"> 2023 թվականի երեք ամիսներին ՀՀ պետական բյուջեի եկամուտներն շարունակում են աճել բարձր տեմպերով՝ պայմանավորված բարձր տնտեսական աճով և հարաբերականորեն բարձր գնաճով: 2023 թվականի հունվար-մարտ ամիսներին պետական բյուջեի ընդհանուր եկամուտները կազմել են 483.6</w:t>
      </w:r>
      <w:r w:rsidRPr="00CB396C">
        <w:rPr>
          <w:rFonts w:ascii="Courier New" w:hAnsi="Courier New" w:cs="Courier New"/>
          <w:sz w:val="22"/>
          <w:szCs w:val="22"/>
          <w:lang w:val="hy-AM"/>
        </w:rPr>
        <w:t> </w:t>
      </w:r>
      <w:r w:rsidRPr="00CB396C">
        <w:rPr>
          <w:rFonts w:ascii="GHEA Grapalat" w:hAnsi="GHEA Grapalat" w:cs="GHEA Grapalat"/>
          <w:sz w:val="22"/>
          <w:szCs w:val="22"/>
          <w:lang w:val="hy-AM"/>
        </w:rPr>
        <w:t>մլրդ դրամ՝ նախորդ տարվա նույն ժամանակահատվածի համեմատ աճելով 13.7%-ով, իսկ հարկերը և տուրքերը կազմել են 461.4 մլրդ դրամ՝ նախորդ տարվա նույն ժամանակահատվածի համեմատ աճելով 15.2%-ով: Հարկային եկամուտների աճը հիմնականում պայմանավորված է հարկման բազաների (հիմնականում ներմուծման, սպառման և աշխատավարձերի) աճով: Միևնույն ժամանակ, հարկային եկամուտների աճին հակազդել են եկամտային հարկի դրույքաչափի նվազումը և վերադարձի ծավալների աճը, ինչպես նաև մետաղական հանքանյութերի նկատմամբ արտահանման տուրքի գործողության դադարեցումը (2022թ. սեպտեմբերի 1-ից):</w:t>
      </w:r>
    </w:p>
    <w:p w:rsidR="001D0330" w:rsidRPr="00CB396C" w:rsidRDefault="001D0330" w:rsidP="001D0330">
      <w:pPr>
        <w:spacing w:line="360" w:lineRule="auto"/>
        <w:ind w:firstLine="567"/>
        <w:jc w:val="both"/>
        <w:rPr>
          <w:rFonts w:ascii="GHEA Grapalat" w:hAnsi="GHEA Grapalat" w:cs="GHEA Grapalat"/>
          <w:sz w:val="22"/>
          <w:szCs w:val="22"/>
          <w:lang w:val="hy-AM"/>
        </w:rPr>
      </w:pPr>
    </w:p>
    <w:p w:rsidR="00262F9B" w:rsidRPr="00146D21" w:rsidRDefault="00262F9B" w:rsidP="00BB6A15">
      <w:pPr>
        <w:pStyle w:val="a"/>
        <w:rPr>
          <w:lang w:val="hy-AM"/>
        </w:rPr>
      </w:pPr>
      <w:r w:rsidRPr="00146D21">
        <w:rPr>
          <w:lang w:val="hy-AM"/>
        </w:rPr>
        <w:t>Պետական</w:t>
      </w:r>
      <w:r w:rsidRPr="00CB396C">
        <w:rPr>
          <w:lang w:val="hy-AM"/>
        </w:rPr>
        <w:t xml:space="preserve"> բյուջեի հարկային եկամուտները 2019-2023թթ. առաջին եռամսակներո</w:t>
      </w:r>
      <w:r w:rsidR="00A36B99" w:rsidRPr="00146D21">
        <w:rPr>
          <w:lang w:val="hy-AM"/>
        </w:rPr>
        <w:t>ւմ</w:t>
      </w:r>
    </w:p>
    <w:p w:rsidR="00262F9B" w:rsidRPr="00CB396C" w:rsidRDefault="00262F9B" w:rsidP="00262F9B">
      <w:pPr>
        <w:autoSpaceDE w:val="0"/>
        <w:autoSpaceDN w:val="0"/>
        <w:adjustRightInd w:val="0"/>
        <w:spacing w:after="120" w:line="276" w:lineRule="auto"/>
        <w:jc w:val="center"/>
        <w:rPr>
          <w:rFonts w:ascii="GHEA Grapalat" w:eastAsia="GHEA Grapalat" w:hAnsi="GHEA Grapalat" w:cs="GHEA Grapalat"/>
          <w:sz w:val="22"/>
          <w:szCs w:val="22"/>
        </w:rPr>
      </w:pPr>
      <w:r w:rsidRPr="00CB396C">
        <w:rPr>
          <w:rFonts w:ascii="GHEA Grapalat" w:eastAsia="GHEA Grapalat" w:hAnsi="GHEA Grapalat" w:cs="GHEA Grapalat"/>
          <w:noProof/>
        </w:rPr>
        <w:drawing>
          <wp:inline distT="0" distB="0" distL="0" distR="0" wp14:anchorId="1B2C020D" wp14:editId="02576E4A">
            <wp:extent cx="5760000" cy="2880000"/>
            <wp:effectExtent l="0" t="0" r="1270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36B99" w:rsidRPr="00CB396C" w:rsidRDefault="00A36B99" w:rsidP="00262F9B">
      <w:pPr>
        <w:spacing w:line="360" w:lineRule="auto"/>
        <w:ind w:firstLine="540"/>
        <w:jc w:val="both"/>
        <w:rPr>
          <w:rFonts w:ascii="GHEA Grapalat" w:hAnsi="GHEA Grapalat" w:cs="GHEA Grapalat"/>
          <w:b/>
          <w:i/>
          <w:sz w:val="22"/>
          <w:szCs w:val="22"/>
        </w:rPr>
      </w:pPr>
    </w:p>
    <w:p w:rsidR="00262F9B" w:rsidRPr="00CB396C" w:rsidRDefault="00262F9B" w:rsidP="00A36B99">
      <w:pPr>
        <w:spacing w:line="360" w:lineRule="auto"/>
        <w:ind w:firstLine="567"/>
        <w:jc w:val="both"/>
        <w:rPr>
          <w:rFonts w:ascii="GHEA Grapalat" w:hAnsi="GHEA Grapalat" w:cs="GHEA Grapalat"/>
          <w:sz w:val="22"/>
          <w:szCs w:val="22"/>
        </w:rPr>
      </w:pPr>
      <w:r w:rsidRPr="00CB396C">
        <w:rPr>
          <w:rFonts w:ascii="GHEA Grapalat" w:hAnsi="GHEA Grapalat" w:cs="GHEA Grapalat"/>
          <w:b/>
          <w:i/>
          <w:sz w:val="22"/>
          <w:szCs w:val="22"/>
        </w:rPr>
        <w:t>Պետական բյուջեի ծախսերը:</w:t>
      </w:r>
      <w:r w:rsidRPr="00CB396C">
        <w:rPr>
          <w:rFonts w:ascii="GHEA Grapalat" w:hAnsi="GHEA Grapalat" w:cs="GHEA Grapalat"/>
          <w:sz w:val="22"/>
          <w:szCs w:val="22"/>
        </w:rPr>
        <w:t xml:space="preserve"> Պետական բյուջեի ծախսերը 2023</w:t>
      </w:r>
      <w:r w:rsidR="00A36B99"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A36B99" w:rsidRPr="00CB396C">
        <w:rPr>
          <w:rFonts w:ascii="GHEA Grapalat" w:hAnsi="GHEA Grapalat" w:cs="GHEA Grapalat"/>
          <w:sz w:val="22"/>
          <w:szCs w:val="22"/>
        </w:rPr>
        <w:t>վականի</w:t>
      </w:r>
      <w:r w:rsidRPr="00CB396C">
        <w:rPr>
          <w:rFonts w:ascii="GHEA Grapalat" w:hAnsi="GHEA Grapalat" w:cs="GHEA Grapalat"/>
          <w:sz w:val="22"/>
          <w:szCs w:val="22"/>
        </w:rPr>
        <w:t xml:space="preserve"> առաջին եռամսյակում աճել են, սակայն ծրագրվածի համեմատ արձանագրվել է էական թերակատարում: 2023 թվականի առաջին երեք </w:t>
      </w:r>
      <w:r w:rsidRPr="00CB396C">
        <w:rPr>
          <w:rFonts w:ascii="GHEA Grapalat" w:hAnsi="GHEA Grapalat" w:cs="GHEA Grapalat"/>
          <w:sz w:val="22"/>
          <w:szCs w:val="22"/>
          <w:lang w:val="hy-AM"/>
        </w:rPr>
        <w:t>ամիսներին</w:t>
      </w:r>
      <w:r w:rsidRPr="00CB396C">
        <w:rPr>
          <w:rFonts w:ascii="GHEA Grapalat" w:hAnsi="GHEA Grapalat" w:cs="GHEA Grapalat"/>
          <w:sz w:val="22"/>
          <w:szCs w:val="22"/>
        </w:rPr>
        <w:t xml:space="preserve"> պետական բյուջեի ծախսերը կազմել են 422.7 մլրդ դրամ՝ նախորդ տարվա նույն ժամանակահատվածի համեմատ աճելով 6.5%-ով: Նույն </w:t>
      </w:r>
      <w:r w:rsidRPr="00CB396C">
        <w:rPr>
          <w:rFonts w:ascii="GHEA Grapalat" w:hAnsi="GHEA Grapalat" w:cs="GHEA Grapalat"/>
          <w:sz w:val="22"/>
          <w:szCs w:val="22"/>
        </w:rPr>
        <w:lastRenderedPageBreak/>
        <w:t>ժամանակահատվածում ընթացիկ ծախսերը կազմել են 394.2</w:t>
      </w:r>
      <w:r w:rsidRPr="00CB396C">
        <w:rPr>
          <w:rFonts w:ascii="Calibri" w:hAnsi="Calibri" w:cs="Calibri"/>
          <w:sz w:val="22"/>
          <w:szCs w:val="22"/>
        </w:rPr>
        <w:t> </w:t>
      </w:r>
      <w:r w:rsidRPr="00CB396C">
        <w:rPr>
          <w:rFonts w:ascii="GHEA Grapalat" w:hAnsi="GHEA Grapalat" w:cs="GHEA Grapalat"/>
          <w:sz w:val="22"/>
          <w:szCs w:val="22"/>
        </w:rPr>
        <w:t>մլրդ դրամ` նախորդ տարվա նույն ժամանակահատվածի համեմատ աճելով 8.8%</w:t>
      </w:r>
      <w:r w:rsidRPr="00CB396C">
        <w:rPr>
          <w:rFonts w:ascii="GHEA Grapalat" w:hAnsi="GHEA Grapalat" w:cs="GHEA Grapalat"/>
          <w:sz w:val="22"/>
          <w:szCs w:val="22"/>
        </w:rPr>
        <w:noBreakHyphen/>
        <w:t>ով:</w:t>
      </w:r>
    </w:p>
    <w:p w:rsidR="00A36B99" w:rsidRPr="00CB396C" w:rsidRDefault="00A36B99" w:rsidP="00A36B99">
      <w:pPr>
        <w:spacing w:line="360" w:lineRule="auto"/>
        <w:ind w:firstLine="567"/>
        <w:jc w:val="both"/>
        <w:rPr>
          <w:rFonts w:ascii="GHEA Grapalat" w:hAnsi="GHEA Grapalat" w:cs="GHEA Grapalat"/>
          <w:sz w:val="22"/>
          <w:szCs w:val="22"/>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262F9B" w:rsidRPr="00B84E08" w:rsidTr="00C96B47">
        <w:tc>
          <w:tcPr>
            <w:tcW w:w="4820" w:type="dxa"/>
          </w:tcPr>
          <w:p w:rsidR="00262F9B" w:rsidRPr="00CB396C" w:rsidRDefault="00262F9B" w:rsidP="00BB6A15">
            <w:pPr>
              <w:pStyle w:val="a"/>
              <w:rPr>
                <w:lang w:val="hy-AM"/>
              </w:rPr>
            </w:pPr>
            <w:r w:rsidRPr="00CB396C">
              <w:rPr>
                <w:lang w:val="hy-AM"/>
              </w:rPr>
              <w:t xml:space="preserve">Պետական բյուջեի ընթացիկ ծախսերը 2019-2023թթ. </w:t>
            </w:r>
            <w:r w:rsidR="00CF6B6A" w:rsidRPr="00CB396C">
              <w:rPr>
                <w:lang w:val="hy-AM"/>
              </w:rPr>
              <w:t>առաջին</w:t>
            </w:r>
            <w:r w:rsidRPr="00CB396C">
              <w:rPr>
                <w:lang w:val="hy-AM"/>
              </w:rPr>
              <w:t xml:space="preserve"> եռամսյակն</w:t>
            </w:r>
            <w:r w:rsidR="00045858" w:rsidRPr="00CB396C">
              <w:rPr>
                <w:lang w:val="hy-AM"/>
              </w:rPr>
              <w:t>երում</w:t>
            </w:r>
          </w:p>
        </w:tc>
        <w:tc>
          <w:tcPr>
            <w:tcW w:w="4770" w:type="dxa"/>
          </w:tcPr>
          <w:p w:rsidR="00262F9B" w:rsidRPr="00CB396C" w:rsidRDefault="00262F9B" w:rsidP="00BB6A15">
            <w:pPr>
              <w:pStyle w:val="a"/>
              <w:rPr>
                <w:lang w:val="hy-AM"/>
              </w:rPr>
            </w:pPr>
            <w:r w:rsidRPr="00CB396C">
              <w:rPr>
                <w:lang w:val="hy-AM"/>
              </w:rPr>
              <w:t xml:space="preserve">Պետական բյուջեի ոչ ֆինանսական ակտիվների գծով ծախսերը 2019-2023թթ. </w:t>
            </w:r>
          </w:p>
        </w:tc>
      </w:tr>
      <w:tr w:rsidR="00262F9B" w:rsidRPr="00CB396C" w:rsidTr="00C96B47">
        <w:tc>
          <w:tcPr>
            <w:tcW w:w="4820" w:type="dxa"/>
          </w:tcPr>
          <w:p w:rsidR="00262F9B" w:rsidRPr="00CB396C" w:rsidRDefault="00262F9B" w:rsidP="00C96B47">
            <w:pPr>
              <w:spacing w:before="60" w:line="360" w:lineRule="auto"/>
              <w:jc w:val="both"/>
              <w:rPr>
                <w:rFonts w:ascii="GHEA Grapalat" w:hAnsi="GHEA Grapalat" w:cs="GHEA Grapalat"/>
                <w:sz w:val="22"/>
                <w:szCs w:val="22"/>
              </w:rPr>
            </w:pPr>
            <w:r w:rsidRPr="00CB396C">
              <w:rPr>
                <w:rFonts w:ascii="GHEA Grapalat" w:eastAsia="GHEA Grapalat" w:hAnsi="GHEA Grapalat" w:cs="GHEA Grapalat"/>
                <w:b/>
                <w:noProof/>
              </w:rPr>
              <w:drawing>
                <wp:inline distT="0" distB="0" distL="0" distR="0" wp14:anchorId="6F2EBDE2" wp14:editId="6F377F5C">
                  <wp:extent cx="3060000" cy="2880000"/>
                  <wp:effectExtent l="0" t="0" r="762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770" w:type="dxa"/>
          </w:tcPr>
          <w:p w:rsidR="00262F9B" w:rsidRPr="00CB396C" w:rsidRDefault="00262F9B" w:rsidP="00C96B47">
            <w:pPr>
              <w:spacing w:before="60" w:line="360" w:lineRule="auto"/>
              <w:jc w:val="both"/>
              <w:rPr>
                <w:rFonts w:ascii="GHEA Grapalat" w:hAnsi="GHEA Grapalat" w:cs="GHEA Grapalat"/>
                <w:sz w:val="22"/>
                <w:szCs w:val="22"/>
              </w:rPr>
            </w:pPr>
            <w:r w:rsidRPr="00CB396C">
              <w:rPr>
                <w:rFonts w:ascii="GHEA Grapalat" w:eastAsia="GHEA Grapalat" w:hAnsi="GHEA Grapalat" w:cs="GHEA Grapalat"/>
                <w:b/>
                <w:noProof/>
              </w:rPr>
              <w:drawing>
                <wp:inline distT="0" distB="0" distL="0" distR="0" wp14:anchorId="3F1DF1B8" wp14:editId="7ACEFF13">
                  <wp:extent cx="3060000" cy="2880000"/>
                  <wp:effectExtent l="0" t="0" r="7620" b="15875"/>
                  <wp:docPr id="617218367" name="Chart 617218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7508DE" w:rsidRPr="00CB396C" w:rsidRDefault="007508DE" w:rsidP="007508DE">
      <w:pPr>
        <w:spacing w:line="360" w:lineRule="auto"/>
        <w:ind w:firstLine="567"/>
        <w:jc w:val="both"/>
        <w:rPr>
          <w:rFonts w:ascii="GHEA Grapalat" w:hAnsi="GHEA Grapalat" w:cs="GHEA Grapalat"/>
          <w:sz w:val="22"/>
          <w:szCs w:val="22"/>
        </w:rPr>
      </w:pPr>
    </w:p>
    <w:p w:rsidR="00262F9B" w:rsidRPr="00CB396C" w:rsidRDefault="00262F9B" w:rsidP="007508DE">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Ոչ ֆինանսական ակտիվների հետ գործառնությունները կազմել են 28.5 մլրդ դրամ, որում ոչ ֆինանսական ակտիվների գծով ծախսերը (կապիտալ ծախսեր) կազմել են 30.4 մլրդ դրամ` նախորդ տարվա նույն ժամանակահատվածի նկատմամբ նվազելով 18.2%</w:t>
      </w:r>
      <w:r w:rsidRPr="00CB396C">
        <w:rPr>
          <w:rFonts w:ascii="GHEA Grapalat" w:hAnsi="GHEA Grapalat" w:cs="GHEA Grapalat"/>
          <w:sz w:val="22"/>
          <w:szCs w:val="22"/>
        </w:rPr>
        <w:noBreakHyphen/>
        <w:t>ով: Ընթացիկ ծախսերում ներառված համայնքներին տրվող կապիտալ բնույթի սուբվենցիա</w:t>
      </w:r>
      <w:r w:rsidR="005002E0" w:rsidRPr="00CB396C">
        <w:rPr>
          <w:rFonts w:ascii="GHEA Grapalat" w:hAnsi="GHEA Grapalat" w:cs="GHEA Grapalat"/>
          <w:sz w:val="22"/>
          <w:szCs w:val="22"/>
        </w:rPr>
        <w:t>ների գծով ծախսերը կազմել են 2.5</w:t>
      </w:r>
      <w:r w:rsidR="005002E0" w:rsidRPr="00CB396C">
        <w:rPr>
          <w:rFonts w:ascii="Calibri" w:hAnsi="Calibri" w:cs="Calibri"/>
          <w:sz w:val="22"/>
          <w:szCs w:val="22"/>
        </w:rPr>
        <w:t> </w:t>
      </w:r>
      <w:r w:rsidRPr="00CB396C">
        <w:rPr>
          <w:rFonts w:ascii="GHEA Grapalat" w:hAnsi="GHEA Grapalat" w:cs="GHEA Grapalat"/>
          <w:sz w:val="22"/>
          <w:szCs w:val="22"/>
        </w:rPr>
        <w:t>մլրդ դրամ, որոնք նախորդ տարվա նույն ժամանակահատվածի նկատմամբ աճել են 98.1%</w:t>
      </w:r>
      <w:r w:rsidRPr="00CB396C">
        <w:rPr>
          <w:rFonts w:ascii="GHEA Grapalat" w:hAnsi="GHEA Grapalat" w:cs="GHEA Grapalat"/>
          <w:sz w:val="22"/>
          <w:szCs w:val="22"/>
        </w:rPr>
        <w:noBreakHyphen/>
        <w:t>ով: Ե՛վ ներքին, և՛ արտաքին միջոցների հաշվին իրականացված ոչ ֆինանսական ակտիվների գծով գործառնությունները թերակատարվել են, որոնց շրջանակներում օգտագործվել է երեք ամիսների ծրագրված միջոցների ընդամենը 29.2%-ը</w:t>
      </w:r>
      <w:r w:rsidR="005002E0" w:rsidRPr="00CB396C">
        <w:rPr>
          <w:rFonts w:ascii="GHEA Grapalat" w:hAnsi="GHEA Grapalat" w:cs="GHEA Grapalat"/>
          <w:sz w:val="22"/>
          <w:szCs w:val="22"/>
        </w:rPr>
        <w:t>՝</w:t>
      </w:r>
      <w:r w:rsidRPr="00CB396C">
        <w:rPr>
          <w:rFonts w:ascii="GHEA Grapalat" w:hAnsi="GHEA Grapalat" w:cs="GHEA Grapalat"/>
          <w:sz w:val="22"/>
          <w:szCs w:val="22"/>
        </w:rPr>
        <w:t xml:space="preserve"> նախորդ տարվա 52.4%-ի դիմաց: Արտաքին ֆինանսավորմամբ կապիտալ ծախսերի ճշտված ծրագրի կատարողականը նախորդ տարվա նույն եռամսյակի նկատմամբ բարելավել է 8.4 տոկոսային կետով՝ կազմելով 34.8%՝ նախորդ տարվա նույն ժամանակահատվածի 26.4%-ի դիմաց, իսկ ներքին միջոցների հաշվին իրականացված կապիտալ ծրագրերի կատարողականը վատացել է: Կատարողականի համեմատաբար ցածր ցուցանիշները ցույց են տալիս, որ կապիտալ ծրագրերի կառավարման և իրականացման խնդիրը շարունակում է մնալ արդիական։</w:t>
      </w:r>
    </w:p>
    <w:p w:rsidR="00262F9B" w:rsidRPr="00CB396C" w:rsidRDefault="00262F9B" w:rsidP="005002E0">
      <w:pPr>
        <w:spacing w:line="360" w:lineRule="auto"/>
        <w:ind w:firstLine="567"/>
        <w:jc w:val="both"/>
        <w:rPr>
          <w:rFonts w:ascii="GHEA Grapalat" w:hAnsi="GHEA Grapalat" w:cs="GHEA Grapalat"/>
          <w:sz w:val="22"/>
          <w:szCs w:val="22"/>
        </w:rPr>
      </w:pPr>
      <w:r w:rsidRPr="00CB396C">
        <w:rPr>
          <w:rFonts w:ascii="GHEA Grapalat" w:hAnsi="GHEA Grapalat" w:cs="GHEA Grapalat"/>
          <w:b/>
          <w:i/>
          <w:sz w:val="22"/>
          <w:szCs w:val="22"/>
        </w:rPr>
        <w:lastRenderedPageBreak/>
        <w:t xml:space="preserve">Պետական աջակցության ծրագրերը: </w:t>
      </w:r>
      <w:r w:rsidRPr="00CB396C">
        <w:rPr>
          <w:rFonts w:ascii="GHEA Grapalat" w:hAnsi="GHEA Grapalat" w:cs="GHEA Grapalat"/>
          <w:bCs/>
          <w:iCs/>
          <w:sz w:val="22"/>
          <w:szCs w:val="22"/>
        </w:rPr>
        <w:t>Սոցիալ-տնտեսական իրավիճակով պայմանավորված</w:t>
      </w:r>
      <w:r w:rsidR="005002E0" w:rsidRPr="00CB396C">
        <w:rPr>
          <w:rFonts w:ascii="GHEA Grapalat" w:hAnsi="GHEA Grapalat" w:cs="GHEA Grapalat"/>
          <w:bCs/>
          <w:iCs/>
          <w:sz w:val="22"/>
          <w:szCs w:val="22"/>
        </w:rPr>
        <w:t>՝</w:t>
      </w:r>
      <w:r w:rsidRPr="00CB396C">
        <w:rPr>
          <w:rFonts w:ascii="GHEA Grapalat" w:hAnsi="GHEA Grapalat" w:cs="GHEA Grapalat"/>
          <w:bCs/>
          <w:iCs/>
          <w:sz w:val="22"/>
          <w:szCs w:val="22"/>
        </w:rPr>
        <w:t xml:space="preserve"> հարկաբյուջետային քաղաքականության աջակցության միջոցառումների իրականացումը շարունակվել է նաև 2023 թվականին: Այսպես՝ </w:t>
      </w:r>
      <w:r w:rsidRPr="00CB396C">
        <w:rPr>
          <w:rFonts w:ascii="GHEA Grapalat" w:hAnsi="GHEA Grapalat" w:cs="GHEA Grapalat"/>
          <w:bCs/>
          <w:sz w:val="22"/>
          <w:szCs w:val="22"/>
        </w:rPr>
        <w:t>ՀՀ դրամի արժևորման</w:t>
      </w:r>
      <w:r w:rsidRPr="00CB396C">
        <w:rPr>
          <w:rFonts w:ascii="GHEA Grapalat" w:hAnsi="GHEA Grapalat" w:cs="GHEA Grapalat"/>
          <w:sz w:val="22"/>
          <w:szCs w:val="22"/>
        </w:rPr>
        <w:t xml:space="preserve"> պայմաններում արտահանելի հատվածին աջակցելու նպատակով ՀՀ կառավարության 2022թ. մարտի 24-ի թիվ N399-Լ որոշմամբ նախատեսած ՏՏ ոլորտի կազմակերպությունների աջակցության ծրագրի (եկամտային հարկի 50 տոկոսի վերադարձի) գծով փաստացի ծախսերը 2023</w:t>
      </w:r>
      <w:r w:rsidR="005002E0"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5002E0" w:rsidRPr="00CB396C">
        <w:rPr>
          <w:rFonts w:ascii="GHEA Grapalat" w:hAnsi="GHEA Grapalat" w:cs="GHEA Grapalat"/>
          <w:sz w:val="22"/>
          <w:szCs w:val="22"/>
        </w:rPr>
        <w:t>վականի</w:t>
      </w:r>
      <w:r w:rsidRPr="00CB396C">
        <w:rPr>
          <w:rFonts w:ascii="GHEA Grapalat" w:hAnsi="GHEA Grapalat" w:cs="GHEA Grapalat"/>
          <w:sz w:val="22"/>
          <w:szCs w:val="22"/>
        </w:rPr>
        <w:t xml:space="preserve"> հունվար-մարտ ամիսներին կազմել են շուրջ 2.0 մլրդ դրամ: </w:t>
      </w:r>
    </w:p>
    <w:p w:rsidR="00262F9B" w:rsidRPr="00CB396C" w:rsidRDefault="00262F9B" w:rsidP="005002E0">
      <w:pPr>
        <w:spacing w:line="360" w:lineRule="auto"/>
        <w:ind w:firstLine="567"/>
        <w:jc w:val="both"/>
        <w:rPr>
          <w:rFonts w:ascii="GHEA Grapalat" w:hAnsi="GHEA Grapalat" w:cs="GHEA Grapalat"/>
          <w:sz w:val="22"/>
          <w:szCs w:val="22"/>
        </w:rPr>
      </w:pPr>
      <w:r w:rsidRPr="00CB396C">
        <w:rPr>
          <w:rFonts w:ascii="GHEA Grapalat" w:hAnsi="GHEA Grapalat" w:cs="GHEA Grapalat"/>
          <w:sz w:val="22"/>
          <w:szCs w:val="22"/>
        </w:rPr>
        <w:t>Հաշվետու ժամանակահատվածում աճել են գյուղատնտեսություն ոլորտի սուբսիդիաները՝ նախորդ տարվա նույն ժամանակահատվածի 5.4 մլրդ դրամից դառնալով 6.9 մլրդ դրամ՝ աճելով 27.9%-ով (որում ներառված են նաև գյուղատնտեսական վարկերի տոկոսադրույքների սուբսիդավորումը (2.4 մլրդ</w:t>
      </w:r>
      <w:r w:rsidR="005002E0" w:rsidRPr="00CB396C">
        <w:rPr>
          <w:rFonts w:ascii="GHEA Grapalat" w:hAnsi="GHEA Grapalat" w:cs="GHEA Grapalat"/>
          <w:sz w:val="22"/>
          <w:szCs w:val="22"/>
        </w:rPr>
        <w:t xml:space="preserve"> դրամ</w:t>
      </w:r>
      <w:r w:rsidRPr="00CB396C">
        <w:rPr>
          <w:rFonts w:ascii="GHEA Grapalat" w:hAnsi="GHEA Grapalat" w:cs="GHEA Grapalat"/>
          <w:sz w:val="22"/>
          <w:szCs w:val="22"/>
        </w:rPr>
        <w:t>)</w:t>
      </w:r>
      <w:r w:rsidR="005002E0" w:rsidRPr="00CB396C">
        <w:rPr>
          <w:rFonts w:ascii="GHEA Grapalat" w:hAnsi="GHEA Grapalat" w:cs="GHEA Grapalat"/>
          <w:sz w:val="22"/>
          <w:szCs w:val="22"/>
        </w:rPr>
        <w:t>,</w:t>
      </w:r>
      <w:r w:rsidRPr="00CB396C">
        <w:rPr>
          <w:rFonts w:ascii="GHEA Grapalat" w:hAnsi="GHEA Grapalat" w:cs="GHEA Grapalat"/>
          <w:sz w:val="22"/>
          <w:szCs w:val="22"/>
        </w:rPr>
        <w:t xml:space="preserve"> գյուղատնտեսական տեխնիկայի</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լիզինգի</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աջակցությունը (</w:t>
      </w:r>
      <w:r w:rsidR="005002E0" w:rsidRPr="00CB396C">
        <w:rPr>
          <w:rFonts w:ascii="GHEA Grapalat" w:hAnsi="GHEA Grapalat" w:cs="GHEA Grapalat"/>
          <w:sz w:val="22"/>
          <w:szCs w:val="22"/>
        </w:rPr>
        <w:t>187.8</w:t>
      </w:r>
      <w:r w:rsidR="005002E0" w:rsidRPr="00CB396C">
        <w:rPr>
          <w:rFonts w:ascii="Calibri" w:hAnsi="Calibri" w:cs="Calibri"/>
          <w:sz w:val="22"/>
          <w:szCs w:val="22"/>
        </w:rPr>
        <w:t> </w:t>
      </w:r>
      <w:r w:rsidRPr="00CB396C">
        <w:rPr>
          <w:rFonts w:ascii="GHEA Grapalat" w:hAnsi="GHEA Grapalat" w:cs="GHEA Grapalat"/>
          <w:sz w:val="22"/>
          <w:szCs w:val="22"/>
        </w:rPr>
        <w:t>մլն</w:t>
      </w:r>
      <w:r w:rsidR="005002E0" w:rsidRPr="00CB396C">
        <w:rPr>
          <w:rFonts w:ascii="GHEA Grapalat" w:hAnsi="GHEA Grapalat" w:cs="GHEA Grapalat"/>
          <w:sz w:val="22"/>
          <w:szCs w:val="22"/>
        </w:rPr>
        <w:t xml:space="preserve"> դրամ</w:t>
      </w:r>
      <w:r w:rsidRPr="00CB396C">
        <w:rPr>
          <w:rFonts w:ascii="GHEA Grapalat" w:hAnsi="GHEA Grapalat" w:cs="GHEA Grapalat"/>
          <w:sz w:val="22"/>
          <w:szCs w:val="22"/>
        </w:rPr>
        <w:t>) և գյուղատնտեսության ոլորտի սուբսիդավորման այլ ծրագրեր): 2023</w:t>
      </w:r>
      <w:r w:rsidR="005002E0" w:rsidRPr="00CB396C">
        <w:rPr>
          <w:rFonts w:ascii="GHEA Grapalat" w:hAnsi="GHEA Grapalat" w:cs="GHEA Grapalat"/>
          <w:sz w:val="22"/>
          <w:szCs w:val="22"/>
        </w:rPr>
        <w:t xml:space="preserve"> </w:t>
      </w:r>
      <w:r w:rsidRPr="00CB396C">
        <w:rPr>
          <w:rFonts w:ascii="GHEA Grapalat" w:hAnsi="GHEA Grapalat" w:cs="GHEA Grapalat"/>
          <w:sz w:val="22"/>
          <w:szCs w:val="22"/>
        </w:rPr>
        <w:t>թ</w:t>
      </w:r>
      <w:r w:rsidR="005002E0" w:rsidRPr="00CB396C">
        <w:rPr>
          <w:rFonts w:ascii="GHEA Grapalat" w:hAnsi="GHEA Grapalat" w:cs="GHEA Grapalat"/>
          <w:sz w:val="22"/>
          <w:szCs w:val="22"/>
        </w:rPr>
        <w:t>վականի</w:t>
      </w:r>
      <w:r w:rsidRPr="00CB396C">
        <w:rPr>
          <w:rFonts w:ascii="GHEA Grapalat" w:hAnsi="GHEA Grapalat" w:cs="GHEA Grapalat"/>
          <w:sz w:val="22"/>
          <w:szCs w:val="22"/>
        </w:rPr>
        <w:t xml:space="preserve"> հունվար-մարտին աճել է ՀՀ պետական բյուջեից Արցախի Հանրապետությանը տրամադրված միջպետական վարկի ծավալը՝ կազմելով</w:t>
      </w:r>
      <w:r w:rsidR="006E27DC" w:rsidRPr="00CB396C">
        <w:rPr>
          <w:rFonts w:ascii="GHEA Grapalat" w:hAnsi="GHEA Grapalat" w:cs="GHEA Grapalat"/>
          <w:sz w:val="22"/>
          <w:szCs w:val="22"/>
        </w:rPr>
        <w:t xml:space="preserve"> </w:t>
      </w:r>
      <w:r w:rsidRPr="00CB396C">
        <w:rPr>
          <w:rFonts w:ascii="GHEA Grapalat" w:hAnsi="GHEA Grapalat" w:cs="GHEA Grapalat"/>
          <w:sz w:val="22"/>
          <w:szCs w:val="22"/>
        </w:rPr>
        <w:t>47.2 մլրդ դրամ՝ նախորդ տարվա նույն ժամանակահատվածի 38.6 մլրդ դրամի համեմատ:</w:t>
      </w:r>
    </w:p>
    <w:p w:rsidR="00262F9B" w:rsidRPr="00CB396C" w:rsidRDefault="00262F9B" w:rsidP="005002E0">
      <w:pPr>
        <w:spacing w:line="360" w:lineRule="auto"/>
        <w:ind w:firstLine="567"/>
        <w:jc w:val="both"/>
        <w:rPr>
          <w:rFonts w:ascii="GHEA Grapalat" w:hAnsi="GHEA Grapalat" w:cs="GHEA Grapalat"/>
          <w:sz w:val="22"/>
          <w:szCs w:val="22"/>
        </w:rPr>
      </w:pPr>
      <w:r w:rsidRPr="00CB396C">
        <w:rPr>
          <w:rFonts w:ascii="GHEA Grapalat" w:hAnsi="GHEA Grapalat" w:cs="GHEA Grapalat"/>
          <w:b/>
          <w:i/>
          <w:sz w:val="22"/>
          <w:szCs w:val="22"/>
        </w:rPr>
        <w:t>Պետական բյուջեի պակասուրդը:</w:t>
      </w:r>
      <w:r w:rsidRPr="00CB396C">
        <w:rPr>
          <w:rFonts w:ascii="GHEA Grapalat" w:hAnsi="GHEA Grapalat" w:cs="GHEA Grapalat"/>
          <w:sz w:val="22"/>
          <w:szCs w:val="22"/>
        </w:rPr>
        <w:t xml:space="preserve"> Վերոնշյալ զարգացումների արդյունքում պետական բյուջեն եղել է հավելուրդային: 2023 թվականի երեք ամիսներին ձևավորվել է պետական բյուջեի 60.9 մլրդ դրամ հավելուրդ՝ նախորդ տարվա նույն ժամանակահատվածի 28.7 մլրդ դրամ պակասուրդի դիմաց: </w:t>
      </w:r>
    </w:p>
    <w:p w:rsidR="00262F9B" w:rsidRPr="00CB396C" w:rsidRDefault="00262F9B" w:rsidP="00262F9B">
      <w:pPr>
        <w:spacing w:line="360" w:lineRule="auto"/>
        <w:ind w:firstLine="540"/>
        <w:jc w:val="both"/>
        <w:rPr>
          <w:rFonts w:ascii="GHEA Grapalat" w:hAnsi="GHEA Grapalat" w:cs="GHEA Grapalat"/>
          <w:sz w:val="22"/>
          <w:szCs w:val="22"/>
        </w:rPr>
      </w:pPr>
      <w:r w:rsidRPr="00CB396C">
        <w:rPr>
          <w:rFonts w:ascii="GHEA Grapalat" w:hAnsi="GHEA Grapalat" w:cs="GHEA Grapalat"/>
          <w:b/>
          <w:i/>
          <w:sz w:val="22"/>
          <w:szCs w:val="22"/>
        </w:rPr>
        <w:t>Հարկաբյուջետային ազդակը:</w:t>
      </w:r>
      <w:r w:rsidRPr="00CB396C">
        <w:rPr>
          <w:rFonts w:ascii="GHEA Grapalat" w:hAnsi="GHEA Grapalat" w:cs="GHEA Grapalat"/>
          <w:sz w:val="22"/>
          <w:szCs w:val="22"/>
        </w:rPr>
        <w:t xml:space="preserve"> 2023 թվականի երեք ամիսների բարձր տնտեսական աճի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2023 թվականի երեք ամիսներին նախորդ տարվա նույն ժամանակահատվածի նկատմամբ ունեցել է զսպող (-0.6) ազդեցություն` պայմանավորված եկամուտների ընդլայնող (1.7) և ծախսերի (-2.3) զսպող ազդեցություններով:</w:t>
      </w:r>
    </w:p>
    <w:p w:rsidR="00262F9B" w:rsidRPr="00CB396C" w:rsidRDefault="00262F9B" w:rsidP="00BB6A15">
      <w:pPr>
        <w:pStyle w:val="a"/>
      </w:pPr>
      <w:r w:rsidRPr="00CB396C">
        <w:lastRenderedPageBreak/>
        <w:t>Հարկաբյուջետային ազդակը 2019-2023 թվականներին</w:t>
      </w:r>
      <w:r w:rsidRPr="00CB396C">
        <w:rPr>
          <w:vertAlign w:val="superscript"/>
        </w:rPr>
        <w:footnoteReference w:id="22"/>
      </w:r>
    </w:p>
    <w:p w:rsidR="00262F9B" w:rsidRPr="00CB396C" w:rsidRDefault="00262F9B" w:rsidP="00262F9B">
      <w:pPr>
        <w:tabs>
          <w:tab w:val="left" w:pos="0"/>
        </w:tabs>
        <w:spacing w:after="120" w:line="276" w:lineRule="auto"/>
        <w:ind w:hanging="90"/>
        <w:jc w:val="center"/>
        <w:rPr>
          <w:rFonts w:ascii="GHEA Grapalat" w:hAnsi="GHEA Grapalat" w:cs="GHEA Grapalat"/>
          <w:sz w:val="22"/>
          <w:szCs w:val="22"/>
        </w:rPr>
      </w:pPr>
      <w:r w:rsidRPr="00CB396C">
        <w:rPr>
          <w:rFonts w:ascii="GHEA Grapalat" w:eastAsia="GHEA Grapalat" w:hAnsi="GHEA Grapalat" w:cs="GHEA Grapalat"/>
          <w:b/>
          <w:noProof/>
        </w:rPr>
        <w:drawing>
          <wp:inline distT="0" distB="0" distL="0" distR="0" wp14:anchorId="721C76EF" wp14:editId="490B928E">
            <wp:extent cx="5760000" cy="2880000"/>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2F9B" w:rsidRPr="00CB396C" w:rsidRDefault="00262F9B" w:rsidP="00262F9B">
      <w:pPr>
        <w:tabs>
          <w:tab w:val="left" w:pos="0"/>
        </w:tabs>
        <w:spacing w:after="120" w:line="276" w:lineRule="auto"/>
        <w:ind w:hanging="90"/>
        <w:jc w:val="center"/>
        <w:rPr>
          <w:rFonts w:ascii="GHEA Grapalat" w:hAnsi="GHEA Grapalat" w:cs="GHEA Grapalat"/>
          <w:sz w:val="22"/>
          <w:szCs w:val="22"/>
        </w:rPr>
      </w:pPr>
    </w:p>
    <w:p w:rsidR="00E75D38" w:rsidRPr="00CB396C" w:rsidRDefault="00E75D38" w:rsidP="00262F9B">
      <w:pPr>
        <w:spacing w:line="276" w:lineRule="auto"/>
        <w:ind w:firstLine="567"/>
        <w:jc w:val="center"/>
        <w:rPr>
          <w:rFonts w:ascii="GHEA Grapalat" w:eastAsia="GHEA Grapalat" w:hAnsi="GHEA Grapalat" w:cs="GHEA Grapalat"/>
          <w:b/>
          <w:sz w:val="22"/>
          <w:szCs w:val="22"/>
          <w:lang w:val="hy-AM"/>
        </w:rPr>
      </w:pPr>
    </w:p>
    <w:p w:rsidR="00B84E08" w:rsidRDefault="00B84E08">
      <w:pPr>
        <w:rPr>
          <w:rFonts w:ascii="GHEA Grapalat" w:hAnsi="GHEA Grapalat"/>
          <w:b/>
          <w:noProof/>
          <w:sz w:val="22"/>
          <w:szCs w:val="22"/>
          <w:lang w:val="de-AT"/>
        </w:rPr>
      </w:pPr>
      <w:r>
        <w:rPr>
          <w:rFonts w:ascii="GHEA Grapalat" w:hAnsi="GHEA Grapalat"/>
          <w:i/>
          <w:noProof/>
          <w:sz w:val="22"/>
          <w:szCs w:val="22"/>
          <w:lang w:val="de-AT"/>
        </w:rPr>
        <w:br w:type="page"/>
      </w:r>
    </w:p>
    <w:p w:rsidR="00262F9B" w:rsidRPr="00B84E08" w:rsidRDefault="00262F9B" w:rsidP="00B84E08">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4" w:name="_Toc165293057"/>
      <w:r w:rsidRPr="00B84E08">
        <w:rPr>
          <w:rFonts w:ascii="GHEA Grapalat" w:hAnsi="GHEA Grapalat"/>
          <w:i w:val="0"/>
          <w:noProof/>
          <w:sz w:val="22"/>
          <w:szCs w:val="22"/>
          <w:lang w:val="de-AT"/>
        </w:rPr>
        <w:lastRenderedPageBreak/>
        <w:t xml:space="preserve">Աղյուսակ </w:t>
      </w:r>
      <w:r w:rsidR="00C007A1" w:rsidRPr="00B84E08">
        <w:rPr>
          <w:rFonts w:ascii="GHEA Grapalat" w:hAnsi="GHEA Grapalat"/>
          <w:i w:val="0"/>
          <w:noProof/>
          <w:sz w:val="22"/>
          <w:szCs w:val="22"/>
          <w:lang w:val="de-AT"/>
        </w:rPr>
        <w:t>1</w:t>
      </w:r>
      <w:r w:rsidRPr="00B84E08">
        <w:rPr>
          <w:rFonts w:ascii="GHEA Grapalat" w:hAnsi="GHEA Grapalat"/>
          <w:i w:val="0"/>
          <w:noProof/>
          <w:sz w:val="22"/>
          <w:szCs w:val="22"/>
          <w:lang w:val="de-AT"/>
        </w:rPr>
        <w:t xml:space="preserve">: </w:t>
      </w:r>
      <w:r w:rsidRPr="00B84E08">
        <w:rPr>
          <w:rFonts w:ascii="GHEA Grapalat" w:hAnsi="GHEA Grapalat"/>
          <w:b w:val="0"/>
          <w:i w:val="0"/>
          <w:noProof/>
          <w:sz w:val="22"/>
          <w:szCs w:val="22"/>
          <w:lang w:val="de-AT"/>
        </w:rPr>
        <w:t>Տնտեսության ճյուղերի և ենթաճյուղերի, արտահանման և ներմուծման ապրանքախմբերի հիմնական ցուցանիշները</w:t>
      </w:r>
      <w:bookmarkEnd w:id="34"/>
    </w:p>
    <w:p w:rsidR="00262F9B" w:rsidRPr="00CB396C" w:rsidRDefault="00262F9B" w:rsidP="00262F9B">
      <w:pPr>
        <w:jc w:val="center"/>
        <w:rPr>
          <w:rFonts w:ascii="GHEA Grapalat" w:hAnsi="GHEA Grapalat" w:cs="Arial"/>
          <w:b/>
          <w:sz w:val="22"/>
          <w:szCs w:val="20"/>
          <w:lang w:val="hy-AM"/>
        </w:rPr>
      </w:pPr>
    </w:p>
    <w:p w:rsidR="00262F9B" w:rsidRPr="00CB396C" w:rsidRDefault="00262F9B" w:rsidP="00262F9B">
      <w:pPr>
        <w:jc w:val="center"/>
        <w:rPr>
          <w:rFonts w:ascii="GHEA Grapalat" w:hAnsi="GHEA Grapalat"/>
          <w:sz w:val="22"/>
          <w:szCs w:val="20"/>
          <w:lang w:val="hy-AM"/>
        </w:rPr>
      </w:pPr>
      <w:r w:rsidRPr="00CB396C">
        <w:rPr>
          <w:rFonts w:ascii="GHEA Grapalat" w:hAnsi="GHEA Grapalat" w:cs="Arial"/>
          <w:b/>
          <w:sz w:val="22"/>
          <w:szCs w:val="20"/>
          <w:lang w:val="hy-AM"/>
        </w:rPr>
        <w:t xml:space="preserve">Աղյուսակ </w:t>
      </w:r>
      <w:r w:rsidR="00C007A1" w:rsidRPr="00146D21">
        <w:rPr>
          <w:rFonts w:ascii="GHEA Grapalat" w:hAnsi="GHEA Grapalat" w:cs="Arial"/>
          <w:b/>
          <w:sz w:val="22"/>
          <w:szCs w:val="20"/>
          <w:lang w:val="hy-AM"/>
        </w:rPr>
        <w:t>1.1</w:t>
      </w:r>
      <w:r w:rsidRPr="00CB396C">
        <w:rPr>
          <w:rFonts w:ascii="GHEA Grapalat" w:hAnsi="GHEA Grapalat" w:cs="Arial"/>
          <w:b/>
          <w:sz w:val="22"/>
          <w:szCs w:val="20"/>
          <w:lang w:val="hy-AM"/>
        </w:rPr>
        <w:t xml:space="preserve">: </w:t>
      </w:r>
      <w:r w:rsidRPr="00CB396C">
        <w:rPr>
          <w:rFonts w:ascii="GHEA Grapalat" w:hAnsi="GHEA Grapalat" w:cs="Arial"/>
          <w:sz w:val="22"/>
          <w:szCs w:val="20"/>
          <w:lang w:val="hy-AM"/>
        </w:rPr>
        <w:t>Տնտեսության ճյուղերի և ենթաճյուղերի թողարկման</w:t>
      </w:r>
      <w:r w:rsidRPr="00CB396C">
        <w:rPr>
          <w:rFonts w:ascii="GHEA Grapalat" w:hAnsi="GHEA Grapalat"/>
          <w:sz w:val="22"/>
          <w:szCs w:val="20"/>
          <w:lang w:val="hy-AM"/>
        </w:rPr>
        <w:t xml:space="preserve"> </w:t>
      </w:r>
      <w:r w:rsidRPr="00CB396C">
        <w:rPr>
          <w:rFonts w:ascii="GHEA Grapalat" w:hAnsi="GHEA Grapalat" w:cs="Arial"/>
          <w:sz w:val="22"/>
          <w:szCs w:val="20"/>
          <w:lang w:val="hy-AM"/>
        </w:rPr>
        <w:t>ծավալների</w:t>
      </w:r>
      <w:r w:rsidRPr="00CB396C">
        <w:rPr>
          <w:rFonts w:ascii="GHEA Grapalat" w:hAnsi="GHEA Grapalat"/>
          <w:sz w:val="22"/>
          <w:szCs w:val="20"/>
          <w:lang w:val="hy-AM"/>
        </w:rPr>
        <w:t xml:space="preserve"> </w:t>
      </w:r>
      <w:r w:rsidRPr="00CB396C">
        <w:rPr>
          <w:rFonts w:ascii="GHEA Grapalat" w:hAnsi="GHEA Grapalat" w:cs="Arial"/>
          <w:sz w:val="22"/>
          <w:szCs w:val="20"/>
          <w:lang w:val="hy-AM"/>
        </w:rPr>
        <w:t>ցուցանիշները,</w:t>
      </w:r>
      <w:r w:rsidRPr="00CB396C">
        <w:rPr>
          <w:rFonts w:ascii="GHEA Grapalat" w:hAnsi="GHEA Grapalat"/>
          <w:sz w:val="22"/>
          <w:szCs w:val="20"/>
          <w:lang w:val="hy-AM"/>
        </w:rPr>
        <w:t xml:space="preserve"> </w:t>
      </w:r>
    </w:p>
    <w:p w:rsidR="00262F9B" w:rsidRPr="00CB396C" w:rsidRDefault="00262F9B" w:rsidP="00262F9B">
      <w:pPr>
        <w:jc w:val="center"/>
        <w:rPr>
          <w:rFonts w:ascii="GHEA Grapalat" w:hAnsi="GHEA Grapalat"/>
          <w:sz w:val="22"/>
          <w:szCs w:val="20"/>
        </w:rPr>
      </w:pPr>
      <w:r w:rsidRPr="00CB396C">
        <w:rPr>
          <w:rFonts w:ascii="GHEA Grapalat" w:hAnsi="GHEA Grapalat"/>
          <w:sz w:val="22"/>
          <w:szCs w:val="20"/>
          <w:lang w:val="hy-AM"/>
        </w:rPr>
        <w:t>202</w:t>
      </w:r>
      <w:r w:rsidRPr="00CB396C">
        <w:rPr>
          <w:rFonts w:ascii="GHEA Grapalat" w:hAnsi="GHEA Grapalat"/>
          <w:sz w:val="22"/>
          <w:szCs w:val="20"/>
        </w:rPr>
        <w:t>3</w:t>
      </w:r>
      <w:r w:rsidRPr="00CB396C">
        <w:rPr>
          <w:rFonts w:ascii="GHEA Grapalat" w:hAnsi="GHEA Grapalat" w:cs="Arial"/>
          <w:sz w:val="22"/>
          <w:szCs w:val="20"/>
          <w:lang w:val="hy-AM"/>
        </w:rPr>
        <w:t xml:space="preserve"> թվականի</w:t>
      </w:r>
      <w:r w:rsidRPr="00CB396C">
        <w:rPr>
          <w:rFonts w:ascii="GHEA Grapalat" w:hAnsi="GHEA Grapalat"/>
          <w:sz w:val="22"/>
          <w:szCs w:val="20"/>
          <w:lang w:val="hy-AM"/>
        </w:rPr>
        <w:t xml:space="preserve"> հունվար-մարտ</w:t>
      </w:r>
    </w:p>
    <w:p w:rsidR="00262F9B" w:rsidRPr="00CB396C" w:rsidRDefault="00262F9B" w:rsidP="00262F9B">
      <w:pPr>
        <w:jc w:val="center"/>
        <w:rPr>
          <w:rFonts w:ascii="GHEA Grapalat" w:hAnsi="GHEA Grapalat"/>
          <w:sz w:val="22"/>
          <w:szCs w:val="20"/>
        </w:rPr>
      </w:pPr>
    </w:p>
    <w:tbl>
      <w:tblPr>
        <w:tblStyle w:val="GridTable4-Accent11"/>
        <w:tblW w:w="10188" w:type="dxa"/>
        <w:tblLook w:val="04A0" w:firstRow="1" w:lastRow="0" w:firstColumn="1" w:lastColumn="0" w:noHBand="0" w:noVBand="1"/>
      </w:tblPr>
      <w:tblGrid>
        <w:gridCol w:w="4315"/>
        <w:gridCol w:w="1440"/>
        <w:gridCol w:w="1343"/>
        <w:gridCol w:w="1225"/>
        <w:gridCol w:w="1865"/>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bookmarkEnd w:id="33"/>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Ամբողջ արդյունաբերություն, այդ թվում՝</w:t>
            </w:r>
          </w:p>
        </w:tc>
        <w:tc>
          <w:tcPr>
            <w:tcW w:w="1440"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556.5</w:t>
            </w:r>
          </w:p>
        </w:tc>
        <w:tc>
          <w:tcPr>
            <w:tcW w:w="1343"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100.0</w:t>
            </w:r>
          </w:p>
        </w:tc>
        <w:tc>
          <w:tcPr>
            <w:tcW w:w="1225"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103.6</w:t>
            </w:r>
          </w:p>
        </w:tc>
        <w:tc>
          <w:tcPr>
            <w:tcW w:w="1865" w:type="dxa"/>
            <w:vAlign w:val="center"/>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CB396C">
              <w:rPr>
                <w:rFonts w:ascii="GHEA Grapalat" w:hAnsi="GHEA Grapalat"/>
                <w:sz w:val="20"/>
                <w:szCs w:val="20"/>
              </w:rPr>
              <w:t>3.6</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rPr>
                <w:rFonts w:ascii="GHEA Grapalat" w:hAnsi="GHEA Grapalat"/>
                <w:b w:val="0"/>
                <w:sz w:val="20"/>
                <w:szCs w:val="20"/>
              </w:rPr>
            </w:pPr>
            <w:r w:rsidRPr="00CB396C">
              <w:rPr>
                <w:rFonts w:ascii="Calibri" w:hAnsi="Calibri" w:cs="Calibri"/>
                <w:b w:val="0"/>
                <w:sz w:val="20"/>
                <w:szCs w:val="20"/>
              </w:rPr>
              <w:t> </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c>
          <w:tcPr>
            <w:tcW w:w="134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c>
          <w:tcPr>
            <w:tcW w:w="122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c>
          <w:tcPr>
            <w:tcW w:w="186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p>
        </w:tc>
      </w:tr>
      <w:tr w:rsidR="00262F9B" w:rsidRPr="00CB396C" w:rsidTr="00C96B4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ind w:left="270" w:hanging="180"/>
              <w:rPr>
                <w:rFonts w:ascii="GHEA Grapalat" w:hAnsi="GHEA Grapalat"/>
                <w:b w:val="0"/>
                <w:sz w:val="20"/>
                <w:szCs w:val="20"/>
                <w:lang w:val="hy-AM"/>
              </w:rPr>
            </w:pPr>
            <w:r w:rsidRPr="00CB396C">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116.2</w:t>
            </w:r>
          </w:p>
        </w:tc>
        <w:tc>
          <w:tcPr>
            <w:tcW w:w="134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20.9</w:t>
            </w:r>
          </w:p>
        </w:tc>
        <w:tc>
          <w:tcPr>
            <w:tcW w:w="122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96.8</w:t>
            </w:r>
          </w:p>
        </w:tc>
        <w:tc>
          <w:tcPr>
            <w:tcW w:w="186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-0.6</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left="270" w:hanging="180"/>
              <w:rPr>
                <w:rFonts w:ascii="GHEA Grapalat" w:hAnsi="GHEA Grapalat"/>
                <w:b w:val="0"/>
                <w:sz w:val="20"/>
                <w:szCs w:val="20"/>
              </w:rPr>
            </w:pPr>
            <w:r w:rsidRPr="00CB396C">
              <w:rPr>
                <w:rFonts w:ascii="GHEA Grapalat" w:hAnsi="GHEA Grapalat"/>
                <w:b w:val="0"/>
                <w:sz w:val="20"/>
                <w:szCs w:val="20"/>
              </w:rPr>
              <w:t>մշակող արդյունաբերություն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339.7</w:t>
            </w:r>
          </w:p>
        </w:tc>
        <w:tc>
          <w:tcPr>
            <w:tcW w:w="134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61.0</w:t>
            </w:r>
          </w:p>
        </w:tc>
        <w:tc>
          <w:tcPr>
            <w:tcW w:w="122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108.1</w:t>
            </w:r>
          </w:p>
        </w:tc>
        <w:tc>
          <w:tcPr>
            <w:tcW w:w="186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4.2</w:t>
            </w:r>
          </w:p>
        </w:tc>
      </w:tr>
      <w:tr w:rsidR="00262F9B" w:rsidRPr="00CB396C" w:rsidTr="00C96B4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ind w:left="270" w:hanging="180"/>
              <w:rPr>
                <w:rFonts w:ascii="GHEA Grapalat" w:hAnsi="GHEA Grapalat"/>
                <w:b w:val="0"/>
                <w:sz w:val="20"/>
                <w:szCs w:val="20"/>
                <w:lang w:val="hy-AM"/>
              </w:rPr>
            </w:pPr>
            <w:r w:rsidRPr="00CB396C">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94.0</w:t>
            </w:r>
          </w:p>
        </w:tc>
        <w:tc>
          <w:tcPr>
            <w:tcW w:w="134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16.9</w:t>
            </w:r>
          </w:p>
        </w:tc>
        <w:tc>
          <w:tcPr>
            <w:tcW w:w="122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99.3</w:t>
            </w:r>
          </w:p>
        </w:tc>
        <w:tc>
          <w:tcPr>
            <w:tcW w:w="1865"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-0.1</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262F9B" w:rsidRPr="00CB396C" w:rsidRDefault="00262F9B" w:rsidP="00C96B47">
            <w:pPr>
              <w:ind w:left="270" w:hanging="180"/>
              <w:rPr>
                <w:rFonts w:ascii="GHEA Grapalat" w:hAnsi="GHEA Grapalat"/>
                <w:b w:val="0"/>
                <w:sz w:val="20"/>
                <w:szCs w:val="20"/>
                <w:lang w:val="hy-AM"/>
              </w:rPr>
            </w:pPr>
            <w:r w:rsidRPr="00CB396C">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6.6</w:t>
            </w:r>
          </w:p>
        </w:tc>
        <w:tc>
          <w:tcPr>
            <w:tcW w:w="134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w:t>
            </w:r>
          </w:p>
        </w:tc>
        <w:tc>
          <w:tcPr>
            <w:tcW w:w="122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109.6</w:t>
            </w:r>
          </w:p>
        </w:tc>
        <w:tc>
          <w:tcPr>
            <w:tcW w:w="1865"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0.1</w:t>
            </w:r>
          </w:p>
        </w:tc>
      </w:tr>
    </w:tbl>
    <w:p w:rsidR="00262F9B" w:rsidRPr="00CB396C" w:rsidRDefault="00262F9B" w:rsidP="00262F9B">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00" w:firstLine="800"/>
              <w:rPr>
                <w:rFonts w:ascii="GHEA Grapalat" w:hAnsi="GHEA Grapalat"/>
                <w:sz w:val="20"/>
                <w:szCs w:val="20"/>
              </w:rPr>
            </w:pPr>
            <w:r w:rsidRPr="00CB396C">
              <w:rPr>
                <w:rFonts w:ascii="Calibri" w:hAnsi="Calibri" w:cs="Calibri"/>
                <w:sz w:val="20"/>
                <w:szCs w:val="20"/>
              </w:rPr>
              <w:t> </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 դրամ)</w:t>
            </w:r>
          </w:p>
        </w:tc>
        <w:tc>
          <w:tcPr>
            <w:tcW w:w="135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rPr>
                <w:rFonts w:ascii="GHEA Grapalat" w:hAnsi="GHEA Grapalat"/>
                <w:b w:val="0"/>
                <w:sz w:val="20"/>
                <w:szCs w:val="20"/>
                <w:lang w:val="hy-AM"/>
              </w:rPr>
            </w:pPr>
            <w:r w:rsidRPr="00CB396C">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108.1</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100.8</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0.8</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jc w:val="right"/>
              <w:rPr>
                <w:rFonts w:ascii="GHEA Grapalat" w:hAnsi="GHEA Grapalat"/>
                <w:b w:val="0"/>
                <w:sz w:val="20"/>
                <w:szCs w:val="20"/>
              </w:rPr>
            </w:pPr>
            <w:r w:rsidRPr="00CB396C">
              <w:rPr>
                <w:rFonts w:ascii="GHEA Grapalat" w:hAnsi="GHEA Grapalat"/>
                <w:b w:val="0"/>
                <w:i/>
                <w:iCs/>
                <w:sz w:val="20"/>
                <w:szCs w:val="20"/>
              </w:rPr>
              <w:t>այդ թվում`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բուսաբուծություն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12.3</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144.1</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անասնաբուծություն</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76.4</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70.7</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96.5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-0.9</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անտառային տնտեսություն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0.4</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96.4</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ձկնորսություն</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19.0</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17.5</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98.0</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-0.1</w:t>
            </w:r>
          </w:p>
        </w:tc>
      </w:tr>
    </w:tbl>
    <w:p w:rsidR="00262F9B" w:rsidRPr="00CB396C" w:rsidRDefault="00262F9B" w:rsidP="00262F9B">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jc w:val="center"/>
              <w:rPr>
                <w:rFonts w:ascii="GHEA Grapalat" w:hAnsi="GHEA Grapalat"/>
                <w:i/>
                <w:iCs/>
                <w:sz w:val="20"/>
                <w:szCs w:val="20"/>
              </w:rPr>
            </w:pPr>
            <w:r w:rsidRPr="00CB396C">
              <w:rPr>
                <w:rFonts w:ascii="GHEA Grapalat" w:hAnsi="GHEA Grapalat"/>
                <w:i/>
                <w:iCs/>
                <w:sz w:val="20"/>
                <w:szCs w:val="20"/>
              </w:rPr>
              <w:t>ըստ ֆինանսավորման աղբյուրների</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 դրամ)</w:t>
            </w:r>
          </w:p>
        </w:tc>
        <w:tc>
          <w:tcPr>
            <w:tcW w:w="135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Շինարարություն</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64.8</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100.0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115.6</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396C">
              <w:rPr>
                <w:rFonts w:ascii="GHEA Grapalat" w:hAnsi="GHEA Grapalat"/>
                <w:b/>
                <w:bCs/>
                <w:sz w:val="20"/>
                <w:szCs w:val="20"/>
              </w:rPr>
              <w:t>15.6</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jc w:val="right"/>
              <w:rPr>
                <w:rFonts w:ascii="GHEA Grapalat" w:hAnsi="GHEA Grapalat"/>
                <w:b w:val="0"/>
                <w:sz w:val="20"/>
                <w:szCs w:val="20"/>
              </w:rPr>
            </w:pPr>
            <w:r w:rsidRPr="00CB396C">
              <w:rPr>
                <w:rFonts w:ascii="Calibri" w:hAnsi="Calibri" w:cs="Calibri"/>
                <w:b w:val="0"/>
                <w:sz w:val="20"/>
                <w:szCs w:val="20"/>
              </w:rPr>
              <w:t> </w:t>
            </w:r>
            <w:r w:rsidRPr="00CB396C">
              <w:rPr>
                <w:rFonts w:ascii="GHEA Grapalat" w:hAnsi="GHEA Grapalat"/>
                <w:b w:val="0"/>
                <w:i/>
                <w:iCs/>
                <w:sz w:val="20"/>
                <w:szCs w:val="20"/>
              </w:rPr>
              <w:t>այդ թվում`</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 xml:space="preserve">պետական բյուջեի, </w:t>
            </w:r>
            <w:r w:rsidRPr="00CB396C">
              <w:rPr>
                <w:rFonts w:ascii="GHEA Grapalat" w:hAnsi="GHEA Grapalat"/>
                <w:b w:val="0"/>
                <w:i/>
                <w:sz w:val="20"/>
                <w:szCs w:val="20"/>
              </w:rPr>
              <w:t>այդ թվում՝</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7.7</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11.9</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62.2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-3.0</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jc w:val="center"/>
              <w:rPr>
                <w:rFonts w:ascii="GHEA Grapalat" w:hAnsi="GHEA Grapalat"/>
                <w:b w:val="0"/>
                <w:i/>
                <w:iCs/>
                <w:sz w:val="20"/>
                <w:szCs w:val="20"/>
              </w:rPr>
            </w:pPr>
            <w:r w:rsidRPr="00CB396C">
              <w:rPr>
                <w:rFonts w:ascii="GHEA Grapalat" w:hAnsi="GHEA Grapalat"/>
                <w:b w:val="0"/>
                <w:i/>
                <w:iCs/>
                <w:sz w:val="20"/>
                <w:szCs w:val="20"/>
              </w:rPr>
              <w:t>միջազգային վարկերի</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2.4</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3.7</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54.1</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-1.1</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համայնքների միջոցների</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2.2</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193.4</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2.1</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մարդասիրական օգնության միջոցների</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0.6</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121.5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0.1</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 xml:space="preserve">կազմակերպությունների միջոցների, </w:t>
            </w:r>
            <w:r w:rsidRPr="00CB396C">
              <w:rPr>
                <w:rFonts w:ascii="GHEA Grapalat" w:hAnsi="GHEA Grapalat"/>
                <w:b w:val="0"/>
                <w:i/>
                <w:sz w:val="20"/>
                <w:szCs w:val="20"/>
              </w:rPr>
              <w:t>այդ թվում՝</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37.2</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57.3</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132.4</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12.4</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6E27DC" w:rsidP="00C96B47">
            <w:pPr>
              <w:ind w:firstLineChars="45" w:firstLine="90"/>
              <w:jc w:val="center"/>
              <w:rPr>
                <w:rFonts w:ascii="GHEA Grapalat" w:hAnsi="GHEA Grapalat"/>
                <w:b w:val="0"/>
                <w:i/>
                <w:iCs/>
                <w:sz w:val="20"/>
                <w:szCs w:val="20"/>
              </w:rPr>
            </w:pPr>
            <w:r w:rsidRPr="00CB396C">
              <w:rPr>
                <w:rFonts w:ascii="GHEA Grapalat" w:hAnsi="GHEA Grapalat"/>
                <w:b w:val="0"/>
                <w:i/>
                <w:iCs/>
                <w:sz w:val="20"/>
                <w:szCs w:val="20"/>
              </w:rPr>
              <w:t xml:space="preserve"> </w:t>
            </w:r>
            <w:r w:rsidR="00262F9B" w:rsidRPr="00CB396C">
              <w:rPr>
                <w:rFonts w:ascii="GHEA Grapalat" w:hAnsi="GHEA Grapalat"/>
                <w:b w:val="0"/>
                <w:i/>
                <w:iCs/>
                <w:sz w:val="20"/>
                <w:szCs w:val="20"/>
              </w:rPr>
              <w:t>օտարերկրյա ներդրողների</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1.3</w:t>
            </w:r>
          </w:p>
        </w:tc>
        <w:tc>
          <w:tcPr>
            <w:tcW w:w="135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83.6</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-0.2</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5" w:firstLine="90"/>
              <w:rPr>
                <w:rFonts w:ascii="GHEA Grapalat" w:hAnsi="GHEA Grapalat"/>
                <w:b w:val="0"/>
                <w:sz w:val="20"/>
                <w:szCs w:val="20"/>
              </w:rPr>
            </w:pPr>
            <w:r w:rsidRPr="00CB396C">
              <w:rPr>
                <w:rFonts w:ascii="GHEA Grapalat" w:hAnsi="GHEA Grapalat"/>
                <w:b w:val="0"/>
                <w:sz w:val="20"/>
                <w:szCs w:val="20"/>
              </w:rPr>
              <w:t>բնակչության միջոցների</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17.2</w:t>
            </w:r>
          </w:p>
        </w:tc>
        <w:tc>
          <w:tcPr>
            <w:tcW w:w="135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26.6</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122.5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396C">
              <w:rPr>
                <w:rFonts w:ascii="GHEA Grapalat" w:hAnsi="GHEA Grapalat"/>
                <w:bCs/>
                <w:sz w:val="20"/>
                <w:szCs w:val="20"/>
              </w:rPr>
              <w:t>4.0</w:t>
            </w:r>
          </w:p>
        </w:tc>
      </w:tr>
    </w:tbl>
    <w:p w:rsidR="00262F9B" w:rsidRPr="00CB396C" w:rsidRDefault="00262F9B" w:rsidP="00262F9B">
      <w:pPr>
        <w:rPr>
          <w:rFonts w:ascii="GHEA Grapalat" w:hAnsi="GHEA Grapalat" w:cs="Arial"/>
          <w:b/>
          <w:sz w:val="20"/>
          <w:szCs w:val="20"/>
        </w:rPr>
      </w:pPr>
    </w:p>
    <w:p w:rsidR="00262F9B" w:rsidRPr="00CB396C" w:rsidRDefault="00262F9B" w:rsidP="00262F9B">
      <w:pPr>
        <w:rPr>
          <w:rFonts w:ascii="GHEA Grapalat" w:hAnsi="GHEA Grapalat" w:cs="Arial"/>
          <w:b/>
          <w:sz w:val="20"/>
          <w:szCs w:val="20"/>
        </w:rPr>
      </w:pPr>
    </w:p>
    <w:p w:rsidR="00262F9B" w:rsidRPr="00CB396C" w:rsidRDefault="00262F9B" w:rsidP="00262F9B">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400" w:firstLine="800"/>
              <w:rPr>
                <w:rFonts w:ascii="GHEA Grapalat" w:hAnsi="GHEA Grapalat"/>
                <w:sz w:val="20"/>
                <w:szCs w:val="20"/>
              </w:rPr>
            </w:pPr>
            <w:r w:rsidRPr="00CB396C">
              <w:rPr>
                <w:rFonts w:ascii="Calibri" w:hAnsi="Calibri" w:cs="Calibri"/>
                <w:sz w:val="20"/>
                <w:szCs w:val="20"/>
              </w:rPr>
              <w:t> </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w:t>
            </w:r>
            <w:r w:rsidR="006E27DC" w:rsidRPr="00CB396C">
              <w:rPr>
                <w:rFonts w:ascii="GHEA Grapalat" w:hAnsi="GHEA Grapalat"/>
                <w:sz w:val="20"/>
                <w:szCs w:val="20"/>
              </w:rPr>
              <w:t xml:space="preserve"> </w:t>
            </w:r>
            <w:r w:rsidRPr="00CB396C">
              <w:rPr>
                <w:rFonts w:ascii="GHEA Grapalat" w:hAnsi="GHEA Grapalat"/>
                <w:sz w:val="20"/>
                <w:szCs w:val="20"/>
              </w:rPr>
              <w:t>դրամ)</w:t>
            </w:r>
          </w:p>
        </w:tc>
        <w:tc>
          <w:tcPr>
            <w:tcW w:w="1394"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16"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Առևտուր</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1007.9</w:t>
            </w:r>
          </w:p>
        </w:tc>
        <w:tc>
          <w:tcPr>
            <w:tcW w:w="1394"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100.0</w:t>
            </w:r>
          </w:p>
        </w:tc>
        <w:tc>
          <w:tcPr>
            <w:tcW w:w="1216"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121.0</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21.0</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jc w:val="right"/>
              <w:rPr>
                <w:rFonts w:ascii="GHEA Grapalat" w:hAnsi="GHEA Grapalat"/>
                <w:b w:val="0"/>
                <w:sz w:val="20"/>
                <w:szCs w:val="20"/>
              </w:rPr>
            </w:pPr>
            <w:r w:rsidRPr="00CB396C">
              <w:rPr>
                <w:rFonts w:ascii="Calibri" w:hAnsi="Calibri" w:cs="Calibri"/>
                <w:b w:val="0"/>
                <w:sz w:val="20"/>
                <w:szCs w:val="20"/>
              </w:rPr>
              <w:t> </w:t>
            </w:r>
            <w:r w:rsidRPr="00CB396C">
              <w:rPr>
                <w:rFonts w:ascii="GHEA Grapalat" w:hAnsi="GHEA Grapalat"/>
                <w:b w:val="0"/>
                <w:i/>
                <w:iCs/>
                <w:sz w:val="20"/>
                <w:szCs w:val="20"/>
              </w:rPr>
              <w:t>այդ թվում`</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200" w:firstLine="400"/>
              <w:rPr>
                <w:rFonts w:ascii="GHEA Grapalat" w:hAnsi="GHEA Grapalat"/>
                <w:b w:val="0"/>
                <w:sz w:val="20"/>
                <w:szCs w:val="20"/>
              </w:rPr>
            </w:pPr>
            <w:r w:rsidRPr="00CB396C">
              <w:rPr>
                <w:rFonts w:ascii="GHEA Grapalat" w:hAnsi="GHEA Grapalat"/>
                <w:b w:val="0"/>
                <w:sz w:val="20"/>
                <w:szCs w:val="20"/>
              </w:rPr>
              <w:t>մանրածախ առևտուր</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365.1</w:t>
            </w:r>
          </w:p>
        </w:tc>
        <w:tc>
          <w:tcPr>
            <w:tcW w:w="1394"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36.2</w:t>
            </w:r>
          </w:p>
        </w:tc>
        <w:tc>
          <w:tcPr>
            <w:tcW w:w="1216"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101.5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0.5</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200" w:firstLine="400"/>
              <w:rPr>
                <w:rFonts w:ascii="GHEA Grapalat" w:hAnsi="GHEA Grapalat"/>
                <w:b w:val="0"/>
                <w:sz w:val="20"/>
                <w:szCs w:val="20"/>
              </w:rPr>
            </w:pPr>
            <w:r w:rsidRPr="00CB396C">
              <w:rPr>
                <w:rFonts w:ascii="GHEA Grapalat" w:hAnsi="GHEA Grapalat"/>
                <w:b w:val="0"/>
                <w:sz w:val="20"/>
                <w:szCs w:val="20"/>
              </w:rPr>
              <w:lastRenderedPageBreak/>
              <w:t>մեծածախ առևտուր</w:t>
            </w:r>
          </w:p>
        </w:tc>
        <w:tc>
          <w:tcPr>
            <w:tcW w:w="1440"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594.7</w:t>
            </w:r>
          </w:p>
        </w:tc>
        <w:tc>
          <w:tcPr>
            <w:tcW w:w="1394"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59.0</w:t>
            </w:r>
          </w:p>
        </w:tc>
        <w:tc>
          <w:tcPr>
            <w:tcW w:w="1216"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135.7</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18.8</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262F9B" w:rsidRPr="00CB396C" w:rsidRDefault="00262F9B" w:rsidP="00C96B47">
            <w:pPr>
              <w:ind w:firstLineChars="200" w:firstLine="400"/>
              <w:rPr>
                <w:rFonts w:ascii="GHEA Grapalat" w:hAnsi="GHEA Grapalat"/>
                <w:b w:val="0"/>
                <w:sz w:val="20"/>
                <w:szCs w:val="20"/>
              </w:rPr>
            </w:pPr>
            <w:r w:rsidRPr="00CB396C">
              <w:rPr>
                <w:rFonts w:ascii="GHEA Grapalat" w:hAnsi="GHEA Grapalat"/>
                <w:b w:val="0"/>
                <w:sz w:val="20"/>
                <w:szCs w:val="20"/>
              </w:rPr>
              <w:t>ավտոմեքենաների առևտուր</w:t>
            </w:r>
          </w:p>
        </w:tc>
        <w:tc>
          <w:tcPr>
            <w:tcW w:w="1440"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48.0</w:t>
            </w:r>
          </w:p>
        </w:tc>
        <w:tc>
          <w:tcPr>
            <w:tcW w:w="1394"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4.8</w:t>
            </w:r>
          </w:p>
        </w:tc>
        <w:tc>
          <w:tcPr>
            <w:tcW w:w="1216"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141.5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w:t>
            </w:r>
          </w:p>
        </w:tc>
      </w:tr>
    </w:tbl>
    <w:p w:rsidR="00262F9B" w:rsidRPr="00CB396C" w:rsidRDefault="00262F9B" w:rsidP="00262F9B">
      <w:pPr>
        <w:rPr>
          <w:rFonts w:ascii="GHEA Grapalat" w:hAnsi="GHEA Grapalat"/>
          <w:b/>
          <w:sz w:val="20"/>
          <w:szCs w:val="20"/>
        </w:rPr>
      </w:pPr>
    </w:p>
    <w:p w:rsidR="00262F9B" w:rsidRPr="00CB396C" w:rsidRDefault="00262F9B" w:rsidP="00262F9B">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262F9B" w:rsidRPr="00CB396C" w:rsidTr="00C96B4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262F9B" w:rsidRPr="00CB396C" w:rsidRDefault="00262F9B" w:rsidP="00C96B47">
            <w:pPr>
              <w:rPr>
                <w:rFonts w:ascii="GHEA Grapalat" w:hAnsi="GHEA Grapalat"/>
                <w:sz w:val="20"/>
                <w:szCs w:val="20"/>
              </w:rPr>
            </w:pPr>
            <w:r w:rsidRPr="00CB396C">
              <w:rPr>
                <w:rFonts w:ascii="Calibri" w:hAnsi="Calibri" w:cs="Calibri"/>
                <w:sz w:val="20"/>
                <w:szCs w:val="20"/>
              </w:rPr>
              <w:t> </w:t>
            </w:r>
          </w:p>
        </w:tc>
        <w:tc>
          <w:tcPr>
            <w:tcW w:w="144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Արժեք (մլրդ դրամ)</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Կշիռը (%)</w:t>
            </w:r>
          </w:p>
        </w:tc>
        <w:tc>
          <w:tcPr>
            <w:tcW w:w="1260"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Աճի ինդեքս</w:t>
            </w:r>
          </w:p>
        </w:tc>
        <w:tc>
          <w:tcPr>
            <w:tcW w:w="1823" w:type="dxa"/>
            <w:vAlign w:val="center"/>
            <w:hideMark/>
          </w:tcPr>
          <w:p w:rsidR="00262F9B" w:rsidRPr="00CB396C" w:rsidRDefault="00262F9B" w:rsidP="00C96B4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Նպաստում (տոկոսային կետ)</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262F9B" w:rsidRPr="00CB396C" w:rsidRDefault="00262F9B" w:rsidP="00C96B47">
            <w:pPr>
              <w:rPr>
                <w:rFonts w:ascii="GHEA Grapalat" w:hAnsi="GHEA Grapalat"/>
                <w:b w:val="0"/>
                <w:sz w:val="20"/>
                <w:szCs w:val="20"/>
              </w:rPr>
            </w:pPr>
            <w:r w:rsidRPr="00CB396C">
              <w:rPr>
                <w:rFonts w:ascii="GHEA Grapalat" w:hAnsi="GHEA Grapalat"/>
                <w:b w:val="0"/>
                <w:sz w:val="20"/>
                <w:szCs w:val="20"/>
              </w:rPr>
              <w:t>Ծառայություններ</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675.2</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100.0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122.9</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396C">
              <w:rPr>
                <w:rFonts w:ascii="GHEA Grapalat" w:hAnsi="GHEA Grapalat"/>
                <w:b/>
                <w:sz w:val="20"/>
                <w:szCs w:val="20"/>
              </w:rPr>
              <w:t>22.9</w:t>
            </w:r>
          </w:p>
        </w:tc>
      </w:tr>
      <w:tr w:rsidR="00262F9B" w:rsidRPr="00CB396C" w:rsidTr="00C96B47">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262F9B" w:rsidRPr="00CB396C" w:rsidRDefault="00262F9B" w:rsidP="00C96B47">
            <w:pPr>
              <w:rPr>
                <w:rFonts w:ascii="GHEA Grapalat" w:hAnsi="GHEA Grapalat"/>
                <w:b w:val="0"/>
                <w:sz w:val="20"/>
                <w:szCs w:val="20"/>
              </w:rPr>
            </w:pPr>
            <w:r w:rsidRPr="00CB396C">
              <w:rPr>
                <w:rFonts w:ascii="Calibri" w:hAnsi="Calibri" w:cs="Calibri"/>
                <w:b w:val="0"/>
                <w:sz w:val="20"/>
                <w:szCs w:val="20"/>
              </w:rPr>
              <w:t> </w:t>
            </w:r>
            <w:r w:rsidRPr="00CB396C">
              <w:rPr>
                <w:rFonts w:ascii="GHEA Grapalat" w:hAnsi="GHEA Grapalat"/>
                <w:b w:val="0"/>
                <w:i/>
                <w:iCs/>
                <w:sz w:val="20"/>
                <w:szCs w:val="20"/>
              </w:rPr>
              <w:t>այդ թվում`</w:t>
            </w:r>
          </w:p>
        </w:tc>
        <w:tc>
          <w:tcPr>
            <w:tcW w:w="1440" w:type="dxa"/>
            <w:noWrap/>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262F9B" w:rsidRPr="00CB396C" w:rsidRDefault="00262F9B" w:rsidP="00C96B47">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63.1</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9.3</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126.2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2.2</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մշակույթ, զվարճություններ և հանգիստ</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64.3</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9.5</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102.6</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0.2</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 xml:space="preserve">կրթություն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18.2</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2.7</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113.6</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0.3</w:t>
            </w:r>
          </w:p>
        </w:tc>
      </w:tr>
      <w:tr w:rsidR="00262F9B" w:rsidRPr="00CB396C" w:rsidTr="00C96B47">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32.3</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4.8</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101.0</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անշարժ գույքի հետ կապված գործունեություն</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27.6</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4.1</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94.2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-0.2</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 xml:space="preserve">տեղեկատվություն և կապ </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142.9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21.2</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154.3</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10.5</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 xml:space="preserve">տրանսպորտ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88.0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13.0</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134.2</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4.1</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վարչարարական և օժանդակ գործունեություն</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2.8</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101.5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lang w:val="hy-AM"/>
              </w:rPr>
            </w:pPr>
            <w:r w:rsidRPr="00CB396C">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28.5</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4.2</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125.6</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w:t>
            </w:r>
          </w:p>
        </w:tc>
      </w:tr>
      <w:tr w:rsidR="00262F9B" w:rsidRPr="00CB396C" w:rsidTr="00C96B4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ֆինանսական և ապահովագրական գործունեություն</w:t>
            </w:r>
          </w:p>
        </w:tc>
        <w:tc>
          <w:tcPr>
            <w:tcW w:w="144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185.9</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27.5</w:t>
            </w:r>
          </w:p>
        </w:tc>
        <w:tc>
          <w:tcPr>
            <w:tcW w:w="1260" w:type="dxa"/>
            <w:noWrap/>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118.5</w:t>
            </w:r>
          </w:p>
        </w:tc>
        <w:tc>
          <w:tcPr>
            <w:tcW w:w="1823" w:type="dxa"/>
            <w:vAlign w:val="center"/>
          </w:tcPr>
          <w:p w:rsidR="00262F9B" w:rsidRPr="00CB396C" w:rsidRDefault="00262F9B" w:rsidP="00C96B4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4.7</w:t>
            </w:r>
          </w:p>
        </w:tc>
      </w:tr>
      <w:tr w:rsidR="00262F9B" w:rsidRPr="00CB396C" w:rsidTr="00C96B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262F9B" w:rsidRPr="00CB396C" w:rsidRDefault="00262F9B" w:rsidP="00C96B47">
            <w:pPr>
              <w:ind w:leftChars="82" w:left="377" w:hangingChars="90" w:hanging="180"/>
              <w:rPr>
                <w:rFonts w:ascii="GHEA Grapalat" w:hAnsi="GHEA Grapalat"/>
                <w:b w:val="0"/>
                <w:sz w:val="20"/>
                <w:szCs w:val="20"/>
              </w:rPr>
            </w:pPr>
            <w:r w:rsidRPr="00CB396C">
              <w:rPr>
                <w:rFonts w:ascii="GHEA Grapalat" w:hAnsi="GHEA Grapalat"/>
                <w:b w:val="0"/>
                <w:sz w:val="20"/>
                <w:szCs w:val="20"/>
              </w:rPr>
              <w:t>սպասարկման այլ ծառայություններ</w:t>
            </w:r>
          </w:p>
        </w:tc>
        <w:tc>
          <w:tcPr>
            <w:tcW w:w="144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5.4</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0.8</w:t>
            </w:r>
          </w:p>
        </w:tc>
        <w:tc>
          <w:tcPr>
            <w:tcW w:w="1260" w:type="dxa"/>
            <w:noWrap/>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104.5</w:t>
            </w:r>
          </w:p>
        </w:tc>
        <w:tc>
          <w:tcPr>
            <w:tcW w:w="1823" w:type="dxa"/>
            <w:vAlign w:val="center"/>
          </w:tcPr>
          <w:p w:rsidR="00262F9B" w:rsidRPr="00CB396C" w:rsidRDefault="00262F9B" w:rsidP="00C96B4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396C">
              <w:rPr>
                <w:rFonts w:ascii="GHEA Grapalat" w:hAnsi="GHEA Grapalat"/>
                <w:sz w:val="20"/>
                <w:szCs w:val="20"/>
              </w:rPr>
              <w:t>0.0</w:t>
            </w:r>
          </w:p>
        </w:tc>
      </w:tr>
    </w:tbl>
    <w:p w:rsidR="00262F9B" w:rsidRPr="00CB396C" w:rsidRDefault="00262F9B" w:rsidP="00262F9B">
      <w:pPr>
        <w:rPr>
          <w:rFonts w:ascii="GHEA Grapalat" w:hAnsi="GHEA Grapalat"/>
          <w:b/>
          <w:sz w:val="20"/>
          <w:szCs w:val="20"/>
        </w:rPr>
      </w:pPr>
    </w:p>
    <w:p w:rsidR="00262F9B" w:rsidRPr="00CB396C" w:rsidRDefault="00C007A1" w:rsidP="00262F9B">
      <w:pPr>
        <w:jc w:val="center"/>
        <w:rPr>
          <w:rFonts w:ascii="GHEA Grapalat" w:hAnsi="GHEA Grapalat"/>
          <w:sz w:val="22"/>
          <w:szCs w:val="20"/>
        </w:rPr>
      </w:pPr>
      <w:r w:rsidRPr="00CB396C">
        <w:rPr>
          <w:rFonts w:ascii="GHEA Grapalat" w:hAnsi="GHEA Grapalat"/>
          <w:b/>
          <w:sz w:val="22"/>
          <w:szCs w:val="20"/>
        </w:rPr>
        <w:t>Աղյուսակ 1</w:t>
      </w:r>
      <w:r w:rsidR="00262F9B" w:rsidRPr="00CB396C">
        <w:rPr>
          <w:rFonts w:ascii="GHEA Grapalat" w:hAnsi="GHEA Grapalat"/>
          <w:b/>
          <w:sz w:val="22"/>
          <w:szCs w:val="20"/>
        </w:rPr>
        <w:t xml:space="preserve">.2. </w:t>
      </w:r>
      <w:r w:rsidR="00262F9B" w:rsidRPr="00CB396C">
        <w:rPr>
          <w:rFonts w:ascii="GHEA Grapalat" w:hAnsi="GHEA Grapalat"/>
          <w:sz w:val="22"/>
          <w:szCs w:val="20"/>
        </w:rPr>
        <w:t>Արտահանման ապրանքային կառուցվածքը և նպաստումները 2023 թվականի</w:t>
      </w:r>
      <w:r w:rsidR="00262F9B" w:rsidRPr="00CB396C" w:rsidDel="00911C8A">
        <w:rPr>
          <w:rFonts w:ascii="GHEA Grapalat" w:hAnsi="GHEA Grapalat"/>
          <w:sz w:val="22"/>
          <w:szCs w:val="20"/>
        </w:rPr>
        <w:t xml:space="preserve"> </w:t>
      </w:r>
      <w:r w:rsidR="00262F9B" w:rsidRPr="00CB396C">
        <w:rPr>
          <w:rFonts w:ascii="GHEA Grapalat" w:hAnsi="GHEA Grapalat"/>
          <w:sz w:val="22"/>
          <w:szCs w:val="20"/>
        </w:rPr>
        <w:t>առաջին եռամսյակի արտահանման աճին</w:t>
      </w:r>
    </w:p>
    <w:p w:rsidR="00262F9B" w:rsidRPr="00CB396C" w:rsidRDefault="00262F9B" w:rsidP="00262F9B">
      <w:pPr>
        <w:jc w:val="center"/>
        <w:rPr>
          <w:rFonts w:ascii="GHEA Grapalat" w:hAnsi="GHEA Grapalat" w:cs="Arial"/>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1015"/>
        <w:gridCol w:w="1395"/>
      </w:tblGrid>
      <w:tr w:rsidR="00262F9B" w:rsidRPr="00CB396C" w:rsidTr="00C96B47">
        <w:tc>
          <w:tcPr>
            <w:tcW w:w="6091" w:type="dxa"/>
            <w:tcBorders>
              <w:top w:val="single" w:sz="4" w:space="0" w:color="4F81BD"/>
              <w:left w:val="single" w:sz="4" w:space="0" w:color="4F81BD"/>
              <w:bottom w:val="single" w:sz="4" w:space="0" w:color="4F81BD"/>
              <w:right w:val="nil"/>
            </w:tcBorders>
            <w:shd w:val="clear" w:color="auto" w:fill="4F81BD"/>
          </w:tcPr>
          <w:p w:rsidR="00262F9B" w:rsidRPr="00CB396C" w:rsidRDefault="00262F9B" w:rsidP="00C96B47">
            <w:pP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 xml:space="preserve">Ծավալ </w:t>
            </w:r>
            <w:r w:rsidRPr="00CB396C">
              <w:rPr>
                <w:rFonts w:ascii="GHEA Grapalat" w:eastAsia="Calibri" w:hAnsi="GHEA Grapalat" w:cs="Sylfaen"/>
                <w:b/>
                <w:bCs/>
                <w:color w:val="FFFFFF"/>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Կշիռ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1015"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Աճ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tcPr>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cs="Sylfaen"/>
                <w:b/>
                <w:bCs/>
                <w:color w:val="FFFFFF"/>
                <w:sz w:val="20"/>
                <w:szCs w:val="20"/>
              </w:rPr>
              <w:t xml:space="preserve">Նպաստում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տոկոսային կետ</w:t>
            </w:r>
            <w:r w:rsidRPr="00CB396C">
              <w:rPr>
                <w:rFonts w:ascii="GHEA Grapalat" w:eastAsia="Calibri" w:hAnsi="GHEA Grapalat" w:cs="Sylfaen"/>
                <w:b/>
                <w:bCs/>
                <w:color w:val="FFFFFF"/>
                <w:sz w:val="20"/>
                <w:szCs w:val="20"/>
                <w:lang w:val="ru-RU"/>
              </w:rPr>
              <w:t>)</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ԸՆԴԱՄԵՆԸ </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1664.8</w:t>
            </w:r>
          </w:p>
        </w:tc>
        <w:tc>
          <w:tcPr>
            <w:tcW w:w="992"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sz w:val="20"/>
                <w:szCs w:val="20"/>
              </w:rPr>
              <w:t>100</w:t>
            </w:r>
          </w:p>
        </w:tc>
        <w:tc>
          <w:tcPr>
            <w:tcW w:w="1015" w:type="dxa"/>
            <w:shd w:val="clear" w:color="auto" w:fill="DBE5F1"/>
            <w:vAlign w:val="bottom"/>
          </w:tcPr>
          <w:p w:rsidR="00262F9B" w:rsidRPr="00CB396C" w:rsidRDefault="00262F9B" w:rsidP="00C96B47">
            <w:pPr>
              <w:jc w:val="center"/>
              <w:rPr>
                <w:rFonts w:ascii="GHEA Grapalat" w:eastAsia="Calibri" w:hAnsi="GHEA Grapalat"/>
                <w:b/>
                <w:sz w:val="20"/>
                <w:szCs w:val="20"/>
              </w:rPr>
            </w:pPr>
            <w:r w:rsidRPr="00CB396C">
              <w:rPr>
                <w:rFonts w:ascii="Arial" w:hAnsi="Arial" w:cs="Arial"/>
                <w:sz w:val="20"/>
                <w:szCs w:val="20"/>
              </w:rPr>
              <w:t>126.5</w:t>
            </w:r>
          </w:p>
        </w:tc>
        <w:tc>
          <w:tcPr>
            <w:tcW w:w="1395" w:type="dxa"/>
            <w:shd w:val="clear" w:color="auto" w:fill="DBE5F1"/>
            <w:vAlign w:val="bottom"/>
          </w:tcPr>
          <w:p w:rsidR="00262F9B" w:rsidRPr="00CB396C" w:rsidRDefault="00262F9B" w:rsidP="00C96B47">
            <w:pPr>
              <w:jc w:val="center"/>
              <w:rPr>
                <w:rFonts w:ascii="GHEA Grapalat" w:eastAsia="Calibri" w:hAnsi="GHEA Grapalat"/>
                <w:b/>
                <w:sz w:val="20"/>
                <w:szCs w:val="20"/>
              </w:rPr>
            </w:pPr>
            <w:r w:rsidRPr="00CB396C">
              <w:rPr>
                <w:rFonts w:ascii="Arial" w:hAnsi="Arial" w:cs="Arial"/>
                <w:b/>
                <w:bCs/>
                <w:sz w:val="20"/>
                <w:szCs w:val="20"/>
              </w:rPr>
              <w:t>126.5</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Կենդանի կենդանիներ և կենդանական ծագման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36.2</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2.2</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110.4</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2.6</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Բուսական ծագման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29.4</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1.8</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-6.8</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Կենդանական և բուսական ծագման յուղեր և ճարպեր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802.0</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Պատրաստի սննդի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208.5</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12.5</w:t>
            </w:r>
          </w:p>
        </w:tc>
        <w:tc>
          <w:tcPr>
            <w:tcW w:w="101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53.3</w:t>
            </w:r>
          </w:p>
        </w:tc>
        <w:tc>
          <w:tcPr>
            <w:tcW w:w="139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9.9</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Հանքահումքային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189.7</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11.4</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-23.7</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-8.0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33.1</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2.0</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217.9</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Պլաստմասսա և դրանցից իրեր, կաուչուկ և ռետինե իրեր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17.4</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186.3</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1.5</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Կաշվի հումք, կաշի, մորթի և դրանցից պատրաստված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115.1</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Փայտ և փայտյա իրեր </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1.2</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213.3</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Թուղթ և թղթից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198.1</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Մանածագործական իրեր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76.7</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4.6</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83.5</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4.7</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Կոշկեղեն, գլխարկներ, հովանոցներ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437.8</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0.7</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Իրեր քարից, գիպսից, ցեմենտից</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9.2</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0.6</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51.1</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382.4</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23.0</w:t>
            </w:r>
          </w:p>
        </w:tc>
        <w:tc>
          <w:tcPr>
            <w:tcW w:w="101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303.4</w:t>
            </w:r>
          </w:p>
        </w:tc>
        <w:tc>
          <w:tcPr>
            <w:tcW w:w="139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39.1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Ոչ թանկարժեք մետաղներ և դրանցից պատրաստված իրեր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164.1</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9.9</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60.5</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8.4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lastRenderedPageBreak/>
              <w:t>Մեքենաներ, սարքավորումներ և մեխանիզմներ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271.0</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16.3</w:t>
            </w:r>
          </w:p>
        </w:tc>
        <w:tc>
          <w:tcPr>
            <w:tcW w:w="101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1590.3</w:t>
            </w:r>
          </w:p>
        </w:tc>
        <w:tc>
          <w:tcPr>
            <w:tcW w:w="1395"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34.7</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Վերգետնյա, օդային և ջրային տրանսպորտի միջոցներ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182.6</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11.0</w:t>
            </w:r>
          </w:p>
        </w:tc>
        <w:tc>
          <w:tcPr>
            <w:tcW w:w="101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2434.2</w:t>
            </w:r>
          </w:p>
        </w:tc>
        <w:tc>
          <w:tcPr>
            <w:tcW w:w="1395"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23.9</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Սարքեր և ապարատներ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36.2</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2.2</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443.9</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4.0</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Տարբեր արդյունաբերական ապրանքներ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13.6</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0.8</w:t>
            </w:r>
          </w:p>
        </w:tc>
        <w:tc>
          <w:tcPr>
            <w:tcW w:w="101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374.9</w:t>
            </w:r>
          </w:p>
        </w:tc>
        <w:tc>
          <w:tcPr>
            <w:tcW w:w="1395"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1.5</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Արվեստի ստեղծագործություններ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c>
          <w:tcPr>
            <w:tcW w:w="101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-88.4</w:t>
            </w:r>
          </w:p>
        </w:tc>
        <w:tc>
          <w:tcPr>
            <w:tcW w:w="1395"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bl>
    <w:p w:rsidR="00262F9B" w:rsidRPr="00CB396C" w:rsidRDefault="00262F9B" w:rsidP="00262F9B">
      <w:pPr>
        <w:jc w:val="center"/>
        <w:rPr>
          <w:rFonts w:ascii="GHEA Grapalat" w:hAnsi="GHEA Grapalat"/>
          <w:b/>
          <w:sz w:val="22"/>
          <w:szCs w:val="20"/>
        </w:rPr>
      </w:pPr>
    </w:p>
    <w:p w:rsidR="00262F9B" w:rsidRPr="00CB396C" w:rsidRDefault="00262F9B" w:rsidP="00262F9B">
      <w:pPr>
        <w:jc w:val="center"/>
        <w:rPr>
          <w:rFonts w:ascii="GHEA Grapalat" w:hAnsi="GHEA Grapalat"/>
          <w:sz w:val="22"/>
          <w:szCs w:val="20"/>
        </w:rPr>
      </w:pPr>
      <w:r w:rsidRPr="00CB396C">
        <w:rPr>
          <w:rFonts w:ascii="GHEA Grapalat" w:hAnsi="GHEA Grapalat"/>
          <w:b/>
          <w:sz w:val="22"/>
          <w:szCs w:val="20"/>
        </w:rPr>
        <w:t xml:space="preserve">Աղյուսակ </w:t>
      </w:r>
      <w:r w:rsidR="00C007A1" w:rsidRPr="00CB396C">
        <w:rPr>
          <w:rFonts w:ascii="GHEA Grapalat" w:hAnsi="GHEA Grapalat"/>
          <w:b/>
          <w:sz w:val="22"/>
          <w:szCs w:val="20"/>
        </w:rPr>
        <w:t>1</w:t>
      </w:r>
      <w:r w:rsidRPr="00CB396C">
        <w:rPr>
          <w:rFonts w:ascii="GHEA Grapalat" w:hAnsi="GHEA Grapalat"/>
          <w:b/>
          <w:sz w:val="22"/>
          <w:szCs w:val="20"/>
        </w:rPr>
        <w:t xml:space="preserve">.3. </w:t>
      </w:r>
      <w:r w:rsidRPr="00CB396C">
        <w:rPr>
          <w:rFonts w:ascii="GHEA Grapalat" w:hAnsi="GHEA Grapalat"/>
          <w:sz w:val="22"/>
          <w:szCs w:val="20"/>
        </w:rPr>
        <w:t>Ներմուծման ապրանքային կառուցվածքը և նպաստումները 2023 թվականի</w:t>
      </w:r>
      <w:r w:rsidRPr="00CB396C" w:rsidDel="00911C8A">
        <w:rPr>
          <w:rFonts w:ascii="GHEA Grapalat" w:hAnsi="GHEA Grapalat"/>
          <w:sz w:val="22"/>
          <w:szCs w:val="20"/>
        </w:rPr>
        <w:t xml:space="preserve"> </w:t>
      </w:r>
      <w:r w:rsidRPr="00CB396C">
        <w:rPr>
          <w:rFonts w:ascii="GHEA Grapalat" w:hAnsi="GHEA Grapalat"/>
          <w:sz w:val="22"/>
          <w:szCs w:val="20"/>
        </w:rPr>
        <w:t>առաջին եռամսյակի արտահանման աճին</w:t>
      </w:r>
    </w:p>
    <w:p w:rsidR="00262F9B" w:rsidRPr="00CB396C" w:rsidRDefault="00262F9B" w:rsidP="00262F9B">
      <w:pPr>
        <w:jc w:val="center"/>
        <w:rPr>
          <w:rFonts w:ascii="GHEA Grapalat" w:hAnsi="GHEA Grapalat"/>
          <w:sz w:val="22"/>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992"/>
        <w:gridCol w:w="1418"/>
      </w:tblGrid>
      <w:tr w:rsidR="00262F9B" w:rsidRPr="00CB396C" w:rsidTr="00C96B47">
        <w:tc>
          <w:tcPr>
            <w:tcW w:w="6091" w:type="dxa"/>
            <w:tcBorders>
              <w:top w:val="single" w:sz="4" w:space="0" w:color="4F81BD"/>
              <w:left w:val="single" w:sz="4" w:space="0" w:color="4F81BD"/>
              <w:bottom w:val="single" w:sz="4" w:space="0" w:color="4F81BD"/>
              <w:right w:val="nil"/>
            </w:tcBorders>
            <w:shd w:val="clear" w:color="auto" w:fill="4F81BD"/>
          </w:tcPr>
          <w:p w:rsidR="00262F9B" w:rsidRPr="00CB396C" w:rsidRDefault="00262F9B" w:rsidP="00C96B47">
            <w:pP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Կշիռ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992" w:type="dxa"/>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cs="Sylfaen"/>
                <w:b/>
                <w:bCs/>
                <w:color w:val="FFFFFF"/>
                <w:sz w:val="20"/>
                <w:szCs w:val="20"/>
              </w:rPr>
              <w:t xml:space="preserve">Աճ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w:t>
            </w:r>
            <w:r w:rsidRPr="00CB396C">
              <w:rPr>
                <w:rFonts w:ascii="GHEA Grapalat" w:eastAsia="Calibri" w:hAnsi="GHEA Grapalat" w:cs="Sylfaen"/>
                <w:b/>
                <w:bCs/>
                <w:color w:val="FFFFFF"/>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tcPr>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cs="Sylfaen"/>
                <w:b/>
                <w:bCs/>
                <w:color w:val="FFFFFF"/>
                <w:sz w:val="20"/>
                <w:szCs w:val="20"/>
              </w:rPr>
              <w:t xml:space="preserve">Նպաստում </w:t>
            </w:r>
            <w:r w:rsidRPr="00CB396C">
              <w:rPr>
                <w:rFonts w:ascii="GHEA Grapalat" w:eastAsia="Calibri" w:hAnsi="GHEA Grapalat" w:cs="Sylfaen"/>
                <w:b/>
                <w:bCs/>
                <w:color w:val="FFFFFF"/>
                <w:sz w:val="20"/>
                <w:szCs w:val="20"/>
                <w:lang w:val="ru-RU"/>
              </w:rPr>
              <w:t>(</w:t>
            </w:r>
            <w:r w:rsidRPr="00CB396C">
              <w:rPr>
                <w:rFonts w:ascii="GHEA Grapalat" w:eastAsia="Calibri" w:hAnsi="GHEA Grapalat" w:cs="Sylfaen"/>
                <w:b/>
                <w:bCs/>
                <w:color w:val="FFFFFF"/>
                <w:sz w:val="20"/>
                <w:szCs w:val="20"/>
              </w:rPr>
              <w:t>տոկոսային կետ</w:t>
            </w:r>
            <w:r w:rsidRPr="00CB396C">
              <w:rPr>
                <w:rFonts w:ascii="GHEA Grapalat" w:eastAsia="Calibri" w:hAnsi="GHEA Grapalat" w:cs="Sylfaen"/>
                <w:b/>
                <w:bCs/>
                <w:color w:val="FFFFFF"/>
                <w:sz w:val="20"/>
                <w:szCs w:val="20"/>
                <w:lang w:val="ru-RU"/>
              </w:rPr>
              <w:t>)</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ԸՆԴԱՄԵՆԸ </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2582.6</w:t>
            </w:r>
          </w:p>
        </w:tc>
        <w:tc>
          <w:tcPr>
            <w:tcW w:w="992"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sz w:val="20"/>
                <w:szCs w:val="20"/>
              </w:rPr>
              <w:t>100</w:t>
            </w:r>
          </w:p>
        </w:tc>
        <w:tc>
          <w:tcPr>
            <w:tcW w:w="992"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sz w:val="20"/>
                <w:szCs w:val="20"/>
              </w:rPr>
              <w:t>89.1</w:t>
            </w:r>
          </w:p>
        </w:tc>
        <w:tc>
          <w:tcPr>
            <w:tcW w:w="1418" w:type="dxa"/>
            <w:shd w:val="clear" w:color="auto" w:fill="DBE5F1"/>
            <w:vAlign w:val="bottom"/>
          </w:tcPr>
          <w:p w:rsidR="00262F9B" w:rsidRPr="00CB396C" w:rsidRDefault="00262F9B" w:rsidP="00C96B47">
            <w:pPr>
              <w:jc w:val="center"/>
              <w:rPr>
                <w:rFonts w:ascii="GHEA Grapalat" w:eastAsia="Calibri" w:hAnsi="GHEA Grapalat" w:cs="Arial"/>
                <w:b/>
                <w:bCs/>
                <w:sz w:val="20"/>
                <w:szCs w:val="20"/>
              </w:rPr>
            </w:pPr>
            <w:r w:rsidRPr="00CB396C">
              <w:rPr>
                <w:rFonts w:ascii="Arial" w:hAnsi="Arial" w:cs="Arial"/>
                <w:b/>
                <w:bCs/>
                <w:sz w:val="20"/>
                <w:szCs w:val="20"/>
              </w:rPr>
              <w:t>89.1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Կենդանի կենդանիներ և կենդանական ծագման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63.7</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2.5</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43.8</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Բուսական ծագման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90.2</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9.2</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0.6</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Կենդանական և բուսական ծագման յուղեր և ճարպեր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17.4</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0.7</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50.2</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Պատրաստի սննդի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119.1</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4.6</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50.4</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2.9</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Հանքահումքային արտադրանք</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268.8</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10.4</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-5.4</w:t>
            </w:r>
          </w:p>
        </w:tc>
        <w:tc>
          <w:tcPr>
            <w:tcW w:w="1418"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141.4</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5.5</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12.3</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Պլաստմասսա և դրանցից իրեր, կաուչուկ և ռետինե իրեր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75.8</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2.9</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42.9</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Կաշվի հումք, կաշի, մորթի և դրանցից պատրաստված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64.1</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 xml:space="preserve">Փայտ և փայտյա իրեր </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20.0</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0.8</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33.4</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Թուղթ և թղթից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38.5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1.5</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68.5</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Մանածագործական իրեր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130.6</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5.1</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71.8</w:t>
            </w:r>
          </w:p>
        </w:tc>
        <w:tc>
          <w:tcPr>
            <w:tcW w:w="1418"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Կոշկեղեն, գլխարկներ, հովանոցներ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24.7</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28.4</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0.4</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Իրեր քարից, գիպսից, ցեմենտից</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35.6</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1.4</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64.1</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245.9</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9.5</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278.0</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13.2</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Ոչ թանկարժեք մետաղներ և դրանցից պատրաստված իրեր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130.9</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5.1</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23.1</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1.8</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Մեքենաներ, սարքավորումներ և մեխանիզմներ</w:t>
            </w:r>
          </w:p>
        </w:tc>
        <w:tc>
          <w:tcPr>
            <w:tcW w:w="1134"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575.0</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22.3</w:t>
            </w:r>
          </w:p>
        </w:tc>
        <w:tc>
          <w:tcPr>
            <w:tcW w:w="992"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181.6</w:t>
            </w:r>
          </w:p>
        </w:tc>
        <w:tc>
          <w:tcPr>
            <w:tcW w:w="1418" w:type="dxa"/>
            <w:shd w:val="clear" w:color="auto" w:fill="DBE5F1"/>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27.1</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Վերգետնյա, օդային և ջրային տրանսպորտի միջոցներ</w:t>
            </w:r>
          </w:p>
        </w:tc>
        <w:tc>
          <w:tcPr>
            <w:tcW w:w="1134"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492.3</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19.1</w:t>
            </w:r>
          </w:p>
        </w:tc>
        <w:tc>
          <w:tcPr>
            <w:tcW w:w="992"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473.5</w:t>
            </w:r>
          </w:p>
        </w:tc>
        <w:tc>
          <w:tcPr>
            <w:tcW w:w="1418" w:type="dxa"/>
            <w:shd w:val="clear" w:color="auto" w:fill="auto"/>
            <w:vAlign w:val="bottom"/>
          </w:tcPr>
          <w:p w:rsidR="00262F9B" w:rsidRPr="00CB396C" w:rsidRDefault="00262F9B" w:rsidP="00C96B47">
            <w:pPr>
              <w:jc w:val="center"/>
              <w:rPr>
                <w:rFonts w:ascii="GHEA Grapalat" w:eastAsia="Calibri" w:hAnsi="GHEA Grapalat"/>
                <w:b/>
                <w:color w:val="000000"/>
                <w:sz w:val="20"/>
                <w:szCs w:val="20"/>
              </w:rPr>
            </w:pPr>
            <w:r w:rsidRPr="00CB396C">
              <w:rPr>
                <w:rFonts w:ascii="Arial" w:hAnsi="Arial" w:cs="Arial"/>
                <w:sz w:val="20"/>
                <w:szCs w:val="20"/>
              </w:rPr>
              <w:t>29.8</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Սարքեր և ապարատներ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59.6</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2.3</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100.9</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2.2</w:t>
            </w:r>
          </w:p>
        </w:tc>
      </w:tr>
      <w:tr w:rsidR="00262F9B" w:rsidRPr="00CB396C" w:rsidTr="00C96B47">
        <w:tc>
          <w:tcPr>
            <w:tcW w:w="6091" w:type="dxa"/>
            <w:shd w:val="clear" w:color="auto" w:fill="auto"/>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Տարբեր արդյունաբերական ապրանքներ</w:t>
            </w:r>
          </w:p>
        </w:tc>
        <w:tc>
          <w:tcPr>
            <w:tcW w:w="1134"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43.5</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1.7</w:t>
            </w:r>
          </w:p>
        </w:tc>
        <w:tc>
          <w:tcPr>
            <w:tcW w:w="992"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30.1</w:t>
            </w:r>
          </w:p>
        </w:tc>
        <w:tc>
          <w:tcPr>
            <w:tcW w:w="1418" w:type="dxa"/>
            <w:shd w:val="clear" w:color="auto" w:fill="auto"/>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0.7</w:t>
            </w:r>
          </w:p>
        </w:tc>
      </w:tr>
      <w:tr w:rsidR="00262F9B" w:rsidRPr="00CB396C" w:rsidTr="00C96B47">
        <w:tc>
          <w:tcPr>
            <w:tcW w:w="6091" w:type="dxa"/>
            <w:shd w:val="clear" w:color="auto" w:fill="DBE5F1"/>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color w:val="000000"/>
                <w:sz w:val="20"/>
                <w:szCs w:val="20"/>
              </w:rPr>
              <w:t>Արվեստի ստեղծագործություններ</w:t>
            </w:r>
          </w:p>
        </w:tc>
        <w:tc>
          <w:tcPr>
            <w:tcW w:w="1134"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0.3</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c>
          <w:tcPr>
            <w:tcW w:w="992"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936.7</w:t>
            </w:r>
          </w:p>
        </w:tc>
        <w:tc>
          <w:tcPr>
            <w:tcW w:w="1418" w:type="dxa"/>
            <w:shd w:val="clear" w:color="auto" w:fill="DBE5F1"/>
            <w:vAlign w:val="bottom"/>
          </w:tcPr>
          <w:p w:rsidR="00262F9B" w:rsidRPr="00CB396C" w:rsidRDefault="00262F9B" w:rsidP="00C96B47">
            <w:pPr>
              <w:jc w:val="center"/>
              <w:rPr>
                <w:rFonts w:ascii="GHEA Grapalat" w:eastAsia="Calibri" w:hAnsi="GHEA Grapalat"/>
                <w:color w:val="000000"/>
                <w:sz w:val="20"/>
                <w:szCs w:val="20"/>
              </w:rPr>
            </w:pPr>
            <w:r w:rsidRPr="00CB396C">
              <w:rPr>
                <w:rFonts w:ascii="Arial" w:hAnsi="Arial" w:cs="Arial"/>
                <w:sz w:val="20"/>
                <w:szCs w:val="20"/>
              </w:rPr>
              <w:t>0.0</w:t>
            </w:r>
          </w:p>
        </w:tc>
      </w:tr>
    </w:tbl>
    <w:p w:rsidR="00262F9B" w:rsidRPr="00CB396C" w:rsidRDefault="00262F9B" w:rsidP="00262F9B">
      <w:pPr>
        <w:rPr>
          <w:rFonts w:ascii="GHEA Grapalat" w:hAnsi="GHEA Grapalat"/>
          <w:b/>
          <w:sz w:val="20"/>
          <w:szCs w:val="20"/>
        </w:rPr>
      </w:pPr>
    </w:p>
    <w:p w:rsidR="00262F9B" w:rsidRPr="00CB396C" w:rsidRDefault="00262F9B" w:rsidP="00262F9B">
      <w:pPr>
        <w:jc w:val="center"/>
        <w:rPr>
          <w:rFonts w:ascii="GHEA Grapalat" w:hAnsi="GHEA Grapalat"/>
          <w:sz w:val="22"/>
          <w:szCs w:val="20"/>
        </w:rPr>
      </w:pPr>
      <w:r w:rsidRPr="00CB396C">
        <w:rPr>
          <w:rFonts w:ascii="GHEA Grapalat" w:hAnsi="GHEA Grapalat"/>
          <w:b/>
          <w:sz w:val="22"/>
          <w:szCs w:val="20"/>
        </w:rPr>
        <w:t xml:space="preserve">Աղյուսակ </w:t>
      </w:r>
      <w:r w:rsidR="00C007A1" w:rsidRPr="00CB396C">
        <w:rPr>
          <w:rFonts w:ascii="GHEA Grapalat" w:hAnsi="GHEA Grapalat"/>
          <w:b/>
          <w:sz w:val="22"/>
          <w:szCs w:val="20"/>
        </w:rPr>
        <w:t>1</w:t>
      </w:r>
      <w:r w:rsidRPr="00CB396C">
        <w:rPr>
          <w:rFonts w:ascii="GHEA Grapalat" w:hAnsi="GHEA Grapalat"/>
          <w:b/>
          <w:sz w:val="22"/>
          <w:szCs w:val="20"/>
        </w:rPr>
        <w:t>.4.</w:t>
      </w:r>
      <w:r w:rsidRPr="00CB396C">
        <w:rPr>
          <w:rFonts w:ascii="GHEA Grapalat" w:hAnsi="GHEA Grapalat"/>
          <w:b/>
          <w:szCs w:val="20"/>
        </w:rPr>
        <w:t xml:space="preserve"> </w:t>
      </w:r>
      <w:r w:rsidRPr="00CB396C">
        <w:rPr>
          <w:rFonts w:ascii="GHEA Grapalat" w:hAnsi="GHEA Grapalat"/>
          <w:sz w:val="22"/>
          <w:szCs w:val="20"/>
        </w:rPr>
        <w:t>Ներմուծումն ըստ ապրանքների լայն տնտեսական՝ BEC դասակարգչի և նպաստումները, 2023 թվականի առաջին եռամսյակ</w:t>
      </w:r>
    </w:p>
    <w:p w:rsidR="00262F9B" w:rsidRPr="00CB396C" w:rsidRDefault="00262F9B" w:rsidP="00262F9B">
      <w:pPr>
        <w:jc w:val="center"/>
        <w:rPr>
          <w:rFonts w:ascii="GHEA Grapalat" w:hAnsi="GHEA Grapalat"/>
          <w:b/>
          <w:szCs w:val="20"/>
        </w:rPr>
      </w:pPr>
    </w:p>
    <w:tbl>
      <w:tblPr>
        <w:tblW w:w="1063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376"/>
        <w:gridCol w:w="1095"/>
        <w:gridCol w:w="939"/>
        <w:gridCol w:w="1093"/>
        <w:gridCol w:w="941"/>
        <w:gridCol w:w="1093"/>
        <w:gridCol w:w="1096"/>
      </w:tblGrid>
      <w:tr w:rsidR="00262F9B" w:rsidRPr="00CB396C" w:rsidTr="00C96B47">
        <w:trPr>
          <w:trHeight w:val="634"/>
        </w:trPr>
        <w:tc>
          <w:tcPr>
            <w:tcW w:w="4376" w:type="dxa"/>
            <w:tcBorders>
              <w:top w:val="single" w:sz="4" w:space="0" w:color="4F81BD"/>
              <w:left w:val="single" w:sz="4" w:space="0" w:color="4F81BD"/>
              <w:bottom w:val="single" w:sz="4" w:space="0" w:color="4F81BD"/>
              <w:right w:val="nil"/>
            </w:tcBorders>
            <w:shd w:val="clear" w:color="auto" w:fill="4F81BD"/>
          </w:tcPr>
          <w:p w:rsidR="00262F9B" w:rsidRPr="00CB396C" w:rsidRDefault="00262F9B" w:rsidP="00C96B47">
            <w:pPr>
              <w:spacing w:line="360" w:lineRule="auto"/>
              <w:jc w:val="both"/>
              <w:rPr>
                <w:rFonts w:ascii="GHEA Grapalat" w:eastAsia="Calibri" w:hAnsi="GHEA Grapalat"/>
                <w:b/>
                <w:bCs/>
                <w:color w:val="FFFFFF"/>
                <w:sz w:val="20"/>
                <w:szCs w:val="20"/>
              </w:rPr>
            </w:pPr>
          </w:p>
        </w:tc>
        <w:tc>
          <w:tcPr>
            <w:tcW w:w="2034" w:type="dxa"/>
            <w:gridSpan w:val="2"/>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 xml:space="preserve">Կշիռ </w:t>
            </w:r>
            <w:r w:rsidRPr="00CB396C">
              <w:rPr>
                <w:rFonts w:ascii="GHEA Grapalat" w:eastAsia="Calibri" w:hAnsi="GHEA Grapalat"/>
                <w:b/>
                <w:bCs/>
                <w:color w:val="FFFFFF"/>
                <w:sz w:val="20"/>
                <w:szCs w:val="20"/>
                <w:lang w:val="ru-RU"/>
              </w:rPr>
              <w:t>(</w:t>
            </w:r>
            <w:r w:rsidRPr="00CB396C">
              <w:rPr>
                <w:rFonts w:ascii="GHEA Grapalat" w:eastAsia="Calibri" w:hAnsi="GHEA Grapalat"/>
                <w:b/>
                <w:bCs/>
                <w:color w:val="FFFFFF"/>
                <w:sz w:val="20"/>
                <w:szCs w:val="20"/>
              </w:rPr>
              <w:t>տոկոս</w:t>
            </w:r>
            <w:r w:rsidRPr="00CB396C">
              <w:rPr>
                <w:rFonts w:ascii="GHEA Grapalat" w:eastAsia="Calibri" w:hAnsi="GHEA Grapalat"/>
                <w:b/>
                <w:bCs/>
                <w:color w:val="FFFFFF"/>
                <w:sz w:val="20"/>
                <w:szCs w:val="20"/>
                <w:lang w:val="ru-RU"/>
              </w:rPr>
              <w:t>)</w:t>
            </w:r>
          </w:p>
        </w:tc>
        <w:tc>
          <w:tcPr>
            <w:tcW w:w="2034" w:type="dxa"/>
            <w:gridSpan w:val="2"/>
            <w:tcBorders>
              <w:top w:val="single" w:sz="4" w:space="0" w:color="4F81BD"/>
              <w:left w:val="nil"/>
              <w:bottom w:val="single" w:sz="4" w:space="0" w:color="4F81BD"/>
              <w:right w:val="nil"/>
            </w:tcBorders>
            <w:shd w:val="clear" w:color="auto" w:fill="4F81BD"/>
          </w:tcPr>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b/>
                <w:bCs/>
                <w:color w:val="FFFFFF"/>
                <w:sz w:val="20"/>
                <w:szCs w:val="20"/>
              </w:rPr>
              <w:t>Աճ</w:t>
            </w:r>
            <w:r w:rsidRPr="00CB396C">
              <w:rPr>
                <w:rFonts w:ascii="GHEA Grapalat" w:eastAsia="Calibri" w:hAnsi="GHEA Grapalat"/>
                <w:b/>
                <w:bCs/>
                <w:color w:val="FFFFFF"/>
                <w:sz w:val="20"/>
                <w:szCs w:val="20"/>
                <w:lang w:val="ru-RU"/>
              </w:rPr>
              <w:t xml:space="preserve"> (</w:t>
            </w:r>
            <w:r w:rsidRPr="00CB396C">
              <w:rPr>
                <w:rFonts w:ascii="GHEA Grapalat" w:eastAsia="Calibri" w:hAnsi="GHEA Grapalat"/>
                <w:b/>
                <w:bCs/>
                <w:color w:val="FFFFFF"/>
                <w:sz w:val="20"/>
                <w:szCs w:val="20"/>
              </w:rPr>
              <w:t>տոկոս</w:t>
            </w:r>
            <w:r w:rsidRPr="00CB396C">
              <w:rPr>
                <w:rFonts w:ascii="GHEA Grapalat" w:eastAsia="Calibri" w:hAnsi="GHEA Grapalat"/>
                <w:b/>
                <w:bCs/>
                <w:color w:val="FFFFFF"/>
                <w:sz w:val="20"/>
                <w:szCs w:val="20"/>
                <w:lang w:val="ru-RU"/>
              </w:rPr>
              <w:t>)</w:t>
            </w:r>
          </w:p>
        </w:tc>
        <w:tc>
          <w:tcPr>
            <w:tcW w:w="2189" w:type="dxa"/>
            <w:gridSpan w:val="2"/>
            <w:tcBorders>
              <w:top w:val="single" w:sz="4" w:space="0" w:color="4F81BD"/>
              <w:left w:val="nil"/>
              <w:bottom w:val="single" w:sz="4" w:space="0" w:color="4F81BD"/>
              <w:right w:val="single" w:sz="4" w:space="0" w:color="4F81BD"/>
            </w:tcBorders>
            <w:shd w:val="clear" w:color="auto" w:fill="4F81BD"/>
          </w:tcPr>
          <w:p w:rsidR="00262F9B" w:rsidRPr="00CB396C" w:rsidRDefault="00262F9B" w:rsidP="00C96B47">
            <w:pPr>
              <w:jc w:val="center"/>
              <w:rPr>
                <w:rFonts w:ascii="GHEA Grapalat" w:eastAsia="Calibri" w:hAnsi="GHEA Grapalat"/>
                <w:b/>
                <w:bCs/>
                <w:color w:val="FFFFFF"/>
                <w:sz w:val="20"/>
                <w:szCs w:val="20"/>
              </w:rPr>
            </w:pPr>
            <w:r w:rsidRPr="00CB396C">
              <w:rPr>
                <w:rFonts w:ascii="GHEA Grapalat" w:eastAsia="Calibri" w:hAnsi="GHEA Grapalat"/>
                <w:b/>
                <w:bCs/>
                <w:color w:val="FFFFFF"/>
                <w:sz w:val="20"/>
                <w:szCs w:val="20"/>
              </w:rPr>
              <w:t>Նպաստում</w:t>
            </w:r>
          </w:p>
          <w:p w:rsidR="00262F9B" w:rsidRPr="00CB396C" w:rsidRDefault="00262F9B" w:rsidP="00C96B47">
            <w:pPr>
              <w:jc w:val="center"/>
              <w:rPr>
                <w:rFonts w:ascii="GHEA Grapalat" w:eastAsia="Calibri" w:hAnsi="GHEA Grapalat"/>
                <w:b/>
                <w:bCs/>
                <w:color w:val="FFFFFF"/>
                <w:sz w:val="20"/>
                <w:szCs w:val="20"/>
                <w:lang w:val="ru-RU"/>
              </w:rPr>
            </w:pPr>
            <w:r w:rsidRPr="00CB396C">
              <w:rPr>
                <w:rFonts w:ascii="GHEA Grapalat" w:eastAsia="Calibri" w:hAnsi="GHEA Grapalat"/>
                <w:b/>
                <w:bCs/>
                <w:color w:val="FFFFFF"/>
                <w:sz w:val="20"/>
                <w:szCs w:val="20"/>
                <w:lang w:val="ru-RU"/>
              </w:rPr>
              <w:t>(</w:t>
            </w:r>
            <w:r w:rsidRPr="00CB396C">
              <w:rPr>
                <w:rFonts w:ascii="GHEA Grapalat" w:eastAsia="Calibri" w:hAnsi="GHEA Grapalat"/>
                <w:b/>
                <w:bCs/>
                <w:color w:val="FFFFFF"/>
                <w:sz w:val="20"/>
                <w:szCs w:val="20"/>
              </w:rPr>
              <w:t>տոկոսային կետ</w:t>
            </w:r>
            <w:r w:rsidRPr="00CB396C">
              <w:rPr>
                <w:rFonts w:ascii="GHEA Grapalat" w:eastAsia="Calibri" w:hAnsi="GHEA Grapalat"/>
                <w:b/>
                <w:bCs/>
                <w:color w:val="FFFFFF"/>
                <w:sz w:val="20"/>
                <w:szCs w:val="20"/>
                <w:lang w:val="ru-RU"/>
              </w:rPr>
              <w:t>)</w:t>
            </w:r>
          </w:p>
        </w:tc>
      </w:tr>
      <w:tr w:rsidR="00262F9B" w:rsidRPr="00CB396C" w:rsidTr="00C96B47">
        <w:trPr>
          <w:trHeight w:val="471"/>
        </w:trPr>
        <w:tc>
          <w:tcPr>
            <w:tcW w:w="4376" w:type="dxa"/>
            <w:shd w:val="clear" w:color="auto" w:fill="DBE5F1"/>
          </w:tcPr>
          <w:p w:rsidR="00262F9B" w:rsidRPr="00CB396C" w:rsidRDefault="00262F9B" w:rsidP="00C96B47">
            <w:pPr>
              <w:spacing w:line="360" w:lineRule="auto"/>
              <w:jc w:val="both"/>
              <w:rPr>
                <w:rFonts w:ascii="GHEA Grapalat" w:eastAsia="Calibri" w:hAnsi="GHEA Grapalat"/>
                <w:b/>
                <w:bCs/>
                <w:sz w:val="20"/>
                <w:szCs w:val="20"/>
              </w:rPr>
            </w:pPr>
          </w:p>
        </w:tc>
        <w:tc>
          <w:tcPr>
            <w:tcW w:w="1095"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2022</w:t>
            </w:r>
          </w:p>
        </w:tc>
        <w:tc>
          <w:tcPr>
            <w:tcW w:w="939"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2023</w:t>
            </w:r>
          </w:p>
        </w:tc>
        <w:tc>
          <w:tcPr>
            <w:tcW w:w="1093"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2022</w:t>
            </w:r>
          </w:p>
        </w:tc>
        <w:tc>
          <w:tcPr>
            <w:tcW w:w="941"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2023</w:t>
            </w:r>
          </w:p>
        </w:tc>
        <w:tc>
          <w:tcPr>
            <w:tcW w:w="1093"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2022</w:t>
            </w:r>
          </w:p>
        </w:tc>
        <w:tc>
          <w:tcPr>
            <w:tcW w:w="1096" w:type="dxa"/>
            <w:shd w:val="clear" w:color="auto" w:fill="DBE5F1"/>
          </w:tcPr>
          <w:p w:rsidR="00262F9B" w:rsidRPr="00CB396C" w:rsidRDefault="00262F9B" w:rsidP="00C96B47">
            <w:pPr>
              <w:spacing w:line="360" w:lineRule="auto"/>
              <w:jc w:val="center"/>
              <w:rPr>
                <w:rFonts w:ascii="GHEA Grapalat" w:eastAsia="Calibri" w:hAnsi="GHEA Grapalat"/>
                <w:b/>
                <w:sz w:val="20"/>
                <w:szCs w:val="20"/>
              </w:rPr>
            </w:pPr>
            <w:r w:rsidRPr="00CB396C">
              <w:rPr>
                <w:rFonts w:ascii="GHEA Grapalat" w:eastAsia="Calibri" w:hAnsi="GHEA Grapalat"/>
                <w:b/>
                <w:sz w:val="20"/>
                <w:szCs w:val="20"/>
              </w:rPr>
              <w:t>2023</w:t>
            </w:r>
          </w:p>
        </w:tc>
      </w:tr>
      <w:tr w:rsidR="00262F9B" w:rsidRPr="00CB396C" w:rsidTr="00C96B47">
        <w:trPr>
          <w:trHeight w:val="325"/>
        </w:trPr>
        <w:tc>
          <w:tcPr>
            <w:tcW w:w="4376" w:type="dxa"/>
            <w:shd w:val="clear" w:color="auto" w:fill="auto"/>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Ընդամենը</w:t>
            </w:r>
          </w:p>
        </w:tc>
        <w:tc>
          <w:tcPr>
            <w:tcW w:w="1095"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100</w:t>
            </w:r>
          </w:p>
        </w:tc>
        <w:tc>
          <w:tcPr>
            <w:tcW w:w="939"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100</w:t>
            </w:r>
          </w:p>
        </w:tc>
        <w:tc>
          <w:tcPr>
            <w:tcW w:w="1093" w:type="dxa"/>
            <w:shd w:val="clear" w:color="auto" w:fill="auto"/>
            <w:vAlign w:val="bottom"/>
          </w:tcPr>
          <w:p w:rsidR="00262F9B" w:rsidRPr="00CB396C" w:rsidRDefault="00262F9B" w:rsidP="00C96B47">
            <w:pPr>
              <w:jc w:val="center"/>
              <w:rPr>
                <w:rFonts w:ascii="GHEA Grapalat" w:eastAsia="Calibri" w:hAnsi="GHEA Grapalat"/>
                <w:b/>
                <w:bCs/>
                <w:sz w:val="20"/>
                <w:szCs w:val="20"/>
              </w:rPr>
            </w:pPr>
            <w:r w:rsidRPr="00CB396C">
              <w:rPr>
                <w:rFonts w:ascii="Arial" w:hAnsi="Arial" w:cs="Arial"/>
                <w:b/>
                <w:bCs/>
                <w:sz w:val="20"/>
                <w:szCs w:val="20"/>
              </w:rPr>
              <w:t>45.6</w:t>
            </w:r>
          </w:p>
        </w:tc>
        <w:tc>
          <w:tcPr>
            <w:tcW w:w="941" w:type="dxa"/>
            <w:shd w:val="clear" w:color="auto" w:fill="auto"/>
            <w:vAlign w:val="bottom"/>
          </w:tcPr>
          <w:p w:rsidR="00262F9B" w:rsidRPr="00CB396C" w:rsidRDefault="00262F9B" w:rsidP="00C96B47">
            <w:pPr>
              <w:jc w:val="center"/>
              <w:rPr>
                <w:rFonts w:ascii="GHEA Grapalat" w:eastAsia="Calibri" w:hAnsi="GHEA Grapalat"/>
                <w:b/>
                <w:bCs/>
                <w:sz w:val="20"/>
                <w:szCs w:val="20"/>
              </w:rPr>
            </w:pPr>
            <w:r w:rsidRPr="00CB396C">
              <w:rPr>
                <w:rFonts w:ascii="Arial" w:hAnsi="Arial" w:cs="Arial"/>
                <w:b/>
                <w:bCs/>
                <w:sz w:val="20"/>
                <w:szCs w:val="20"/>
              </w:rPr>
              <w:t>89.1</w:t>
            </w:r>
          </w:p>
        </w:tc>
        <w:tc>
          <w:tcPr>
            <w:tcW w:w="1093"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45.6</w:t>
            </w:r>
          </w:p>
        </w:tc>
        <w:tc>
          <w:tcPr>
            <w:tcW w:w="1096" w:type="dxa"/>
            <w:shd w:val="clear" w:color="auto" w:fill="auto"/>
            <w:vAlign w:val="bottom"/>
          </w:tcPr>
          <w:p w:rsidR="00262F9B" w:rsidRPr="00CB396C" w:rsidRDefault="00262F9B" w:rsidP="00C96B47">
            <w:pPr>
              <w:jc w:val="center"/>
              <w:rPr>
                <w:rFonts w:ascii="GHEA Grapalat" w:eastAsia="Calibri" w:hAnsi="GHEA Grapalat"/>
                <w:b/>
                <w:sz w:val="20"/>
                <w:szCs w:val="20"/>
              </w:rPr>
            </w:pPr>
            <w:r w:rsidRPr="00CB396C">
              <w:rPr>
                <w:rFonts w:ascii="GHEA Grapalat" w:eastAsia="Calibri" w:hAnsi="GHEA Grapalat"/>
                <w:b/>
                <w:sz w:val="20"/>
                <w:szCs w:val="20"/>
              </w:rPr>
              <w:t>89.1</w:t>
            </w:r>
          </w:p>
        </w:tc>
      </w:tr>
      <w:tr w:rsidR="00262F9B" w:rsidRPr="00CB396C" w:rsidTr="00C96B47">
        <w:trPr>
          <w:trHeight w:val="308"/>
        </w:trPr>
        <w:tc>
          <w:tcPr>
            <w:tcW w:w="4376" w:type="dxa"/>
            <w:shd w:val="clear" w:color="auto" w:fill="DBE5F1"/>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Վերջնական սպառման ապրանքներ</w:t>
            </w:r>
          </w:p>
        </w:tc>
        <w:tc>
          <w:tcPr>
            <w:tcW w:w="1095"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25.7</w:t>
            </w:r>
          </w:p>
        </w:tc>
        <w:tc>
          <w:tcPr>
            <w:tcW w:w="939"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22.1</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39.3</w:t>
            </w:r>
          </w:p>
        </w:tc>
        <w:tc>
          <w:tcPr>
            <w:tcW w:w="941"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63.0</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10.5</w:t>
            </w:r>
          </w:p>
        </w:tc>
        <w:tc>
          <w:tcPr>
            <w:tcW w:w="1096"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16.2</w:t>
            </w:r>
          </w:p>
        </w:tc>
      </w:tr>
      <w:tr w:rsidR="00262F9B" w:rsidRPr="00CB396C" w:rsidTr="00C96B47">
        <w:trPr>
          <w:trHeight w:val="325"/>
        </w:trPr>
        <w:tc>
          <w:tcPr>
            <w:tcW w:w="4376" w:type="dxa"/>
            <w:shd w:val="clear" w:color="auto" w:fill="auto"/>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Միջանկյալ սպառման ապրանքներ</w:t>
            </w:r>
          </w:p>
        </w:tc>
        <w:tc>
          <w:tcPr>
            <w:tcW w:w="1095"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56.5</w:t>
            </w:r>
          </w:p>
        </w:tc>
        <w:tc>
          <w:tcPr>
            <w:tcW w:w="939"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42.3</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44.7</w:t>
            </w:r>
          </w:p>
        </w:tc>
        <w:tc>
          <w:tcPr>
            <w:tcW w:w="941"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41.7</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25.4</w:t>
            </w:r>
          </w:p>
        </w:tc>
        <w:tc>
          <w:tcPr>
            <w:tcW w:w="1096"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23.5</w:t>
            </w:r>
          </w:p>
        </w:tc>
      </w:tr>
      <w:tr w:rsidR="00262F9B" w:rsidRPr="00CB396C" w:rsidTr="00C96B47">
        <w:trPr>
          <w:trHeight w:val="308"/>
        </w:trPr>
        <w:tc>
          <w:tcPr>
            <w:tcW w:w="4376" w:type="dxa"/>
            <w:shd w:val="clear" w:color="auto" w:fill="DBE5F1"/>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Կապիտալ ապրանքներ</w:t>
            </w:r>
          </w:p>
        </w:tc>
        <w:tc>
          <w:tcPr>
            <w:tcW w:w="1095"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14.0</w:t>
            </w:r>
          </w:p>
        </w:tc>
        <w:tc>
          <w:tcPr>
            <w:tcW w:w="939"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22.0</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32.2</w:t>
            </w:r>
          </w:p>
        </w:tc>
        <w:tc>
          <w:tcPr>
            <w:tcW w:w="941"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196.4</w:t>
            </w:r>
          </w:p>
        </w:tc>
        <w:tc>
          <w:tcPr>
            <w:tcW w:w="1093"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5.0</w:t>
            </w:r>
          </w:p>
        </w:tc>
        <w:tc>
          <w:tcPr>
            <w:tcW w:w="1096" w:type="dxa"/>
            <w:shd w:val="clear" w:color="auto" w:fill="DBE5F1"/>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27.5</w:t>
            </w:r>
          </w:p>
        </w:tc>
      </w:tr>
      <w:tr w:rsidR="00262F9B" w:rsidRPr="00CB396C" w:rsidTr="00C96B47">
        <w:trPr>
          <w:trHeight w:val="325"/>
        </w:trPr>
        <w:tc>
          <w:tcPr>
            <w:tcW w:w="4376" w:type="dxa"/>
            <w:shd w:val="clear" w:color="auto" w:fill="auto"/>
            <w:vAlign w:val="bottom"/>
          </w:tcPr>
          <w:p w:rsidR="00262F9B" w:rsidRPr="00CB396C" w:rsidRDefault="00262F9B" w:rsidP="00C96B47">
            <w:pPr>
              <w:rPr>
                <w:rFonts w:ascii="GHEA Grapalat" w:eastAsia="Calibri" w:hAnsi="GHEA Grapalat"/>
                <w:bCs/>
                <w:sz w:val="20"/>
                <w:szCs w:val="20"/>
              </w:rPr>
            </w:pPr>
            <w:r w:rsidRPr="00CB396C">
              <w:rPr>
                <w:rFonts w:ascii="GHEA Grapalat" w:eastAsia="Calibri" w:hAnsi="GHEA Grapalat"/>
                <w:bCs/>
                <w:sz w:val="20"/>
                <w:szCs w:val="20"/>
              </w:rPr>
              <w:t>Ավտոմեքենա մարդատար</w:t>
            </w:r>
          </w:p>
        </w:tc>
        <w:tc>
          <w:tcPr>
            <w:tcW w:w="1095"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3.8</w:t>
            </w:r>
          </w:p>
        </w:tc>
        <w:tc>
          <w:tcPr>
            <w:tcW w:w="939"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13.6</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514.2</w:t>
            </w:r>
          </w:p>
        </w:tc>
        <w:tc>
          <w:tcPr>
            <w:tcW w:w="941"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570.1</w:t>
            </w:r>
          </w:p>
        </w:tc>
        <w:tc>
          <w:tcPr>
            <w:tcW w:w="1093"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4.7</w:t>
            </w:r>
          </w:p>
        </w:tc>
        <w:tc>
          <w:tcPr>
            <w:tcW w:w="1096" w:type="dxa"/>
            <w:shd w:val="clear" w:color="auto" w:fill="auto"/>
            <w:vAlign w:val="bottom"/>
          </w:tcPr>
          <w:p w:rsidR="00262F9B" w:rsidRPr="00CB396C" w:rsidRDefault="00262F9B" w:rsidP="00C96B47">
            <w:pPr>
              <w:jc w:val="center"/>
              <w:rPr>
                <w:rFonts w:ascii="GHEA Grapalat" w:eastAsia="Calibri" w:hAnsi="GHEA Grapalat"/>
                <w:sz w:val="20"/>
                <w:szCs w:val="20"/>
              </w:rPr>
            </w:pPr>
            <w:r w:rsidRPr="00CB396C">
              <w:rPr>
                <w:rFonts w:ascii="Arial" w:hAnsi="Arial" w:cs="Arial"/>
                <w:sz w:val="20"/>
                <w:szCs w:val="20"/>
              </w:rPr>
              <w:t>21.9</w:t>
            </w:r>
          </w:p>
        </w:tc>
      </w:tr>
      <w:bookmarkEnd w:id="4"/>
      <w:bookmarkEnd w:id="5"/>
      <w:bookmarkEnd w:id="6"/>
    </w:tbl>
    <w:p w:rsidR="00DE12FB" w:rsidRPr="00CB396C" w:rsidRDefault="00DE12FB" w:rsidP="00146D21">
      <w:pPr>
        <w:pStyle w:val="Heading1"/>
        <w:overflowPunct/>
        <w:autoSpaceDE/>
        <w:autoSpaceDN/>
        <w:adjustRightInd/>
        <w:ind w:firstLine="0"/>
        <w:jc w:val="left"/>
        <w:textAlignment w:val="auto"/>
        <w:rPr>
          <w:rFonts w:ascii="GHEA Grapalat" w:hAnsi="GHEA Grapalat" w:cs="GHEA Grapalat"/>
          <w:sz w:val="22"/>
          <w:szCs w:val="22"/>
          <w:lang w:val="hy-AM"/>
        </w:rPr>
      </w:pPr>
    </w:p>
    <w:sectPr w:rsidR="00DE12FB" w:rsidRPr="00CB396C" w:rsidSect="00146D21">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E08" w:rsidRDefault="00B84E08">
      <w:r>
        <w:separator/>
      </w:r>
    </w:p>
  </w:endnote>
  <w:endnote w:type="continuationSeparator" w:id="0">
    <w:p w:rsidR="00B84E08" w:rsidRDefault="00B84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08" w:rsidRPr="00E37514" w:rsidRDefault="00B84E08">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221060">
      <w:rPr>
        <w:rFonts w:ascii="GHEA Grapalat" w:hAnsi="GHEA Grapalat"/>
        <w:noProof/>
        <w:sz w:val="22"/>
        <w:szCs w:val="22"/>
      </w:rPr>
      <w:t>23</w:t>
    </w:r>
    <w:r w:rsidRPr="00E37514">
      <w:rPr>
        <w:rFonts w:ascii="GHEA Grapalat" w:hAnsi="GHEA Grapalat"/>
        <w:noProof/>
        <w:sz w:val="22"/>
        <w:szCs w:val="22"/>
      </w:rPr>
      <w:fldChar w:fldCharType="end"/>
    </w:r>
  </w:p>
  <w:p w:rsidR="00B84E08" w:rsidRDefault="00B84E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E08" w:rsidRDefault="00B84E08">
      <w:r>
        <w:separator/>
      </w:r>
    </w:p>
  </w:footnote>
  <w:footnote w:type="continuationSeparator" w:id="0">
    <w:p w:rsidR="00B84E08" w:rsidRDefault="00B84E08">
      <w:r>
        <w:continuationSeparator/>
      </w:r>
    </w:p>
  </w:footnote>
  <w:footnote w:id="1">
    <w:p w:rsidR="00B84E08" w:rsidRPr="00E309DA" w:rsidRDefault="00B84E08"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hyperlink r:id="rId1" w:history="1">
        <w:r w:rsidRPr="00E309DA">
          <w:rPr>
            <w:rStyle w:val="Hyperlink"/>
            <w:rFonts w:ascii="GHEA Grapalat" w:hAnsi="GHEA Grapalat"/>
            <w:sz w:val="18"/>
            <w:szCs w:val="18"/>
          </w:rPr>
          <w:t>https://www.bea.gov/</w:t>
        </w:r>
      </w:hyperlink>
      <w:r w:rsidRPr="00E309DA">
        <w:rPr>
          <w:rFonts w:ascii="GHEA Grapalat" w:hAnsi="GHEA Grapalat"/>
          <w:sz w:val="18"/>
          <w:szCs w:val="18"/>
        </w:rPr>
        <w:t xml:space="preserve"> </w:t>
      </w:r>
    </w:p>
  </w:footnote>
  <w:footnote w:id="2">
    <w:p w:rsidR="00B84E08" w:rsidRPr="00E309DA" w:rsidRDefault="00B84E08"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2"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3">
    <w:p w:rsidR="00B84E08" w:rsidRPr="00E309DA" w:rsidRDefault="00B84E08"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3"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4">
    <w:p w:rsidR="00B84E08" w:rsidRPr="00E309DA" w:rsidRDefault="00B84E08"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w:t>
      </w:r>
      <w:r>
        <w:rPr>
          <w:rFonts w:ascii="GHEA Grapalat" w:hAnsi="GHEA Grapalat"/>
          <w:sz w:val="18"/>
          <w:szCs w:val="18"/>
        </w:rPr>
        <w:t>ՌԴ տնտեսական զարգացման նախարարություն</w:t>
      </w:r>
      <w:r w:rsidRPr="00E309DA">
        <w:rPr>
          <w:rFonts w:ascii="GHEA Grapalat" w:hAnsi="GHEA Grapalat"/>
          <w:sz w:val="18"/>
          <w:szCs w:val="18"/>
        </w:rPr>
        <w:t xml:space="preserve">, </w:t>
      </w:r>
      <w:hyperlink r:id="rId4" w:history="1">
        <w:r w:rsidRPr="00245AAE">
          <w:rPr>
            <w:rStyle w:val="Hyperlink"/>
            <w:rFonts w:ascii="GHEA Grapalat" w:hAnsi="GHEA Grapalat"/>
            <w:sz w:val="18"/>
            <w:szCs w:val="18"/>
          </w:rPr>
          <w:t>https://economy.gov.ru/</w:t>
        </w:r>
      </w:hyperlink>
      <w:r>
        <w:rPr>
          <w:rFonts w:ascii="GHEA Grapalat" w:hAnsi="GHEA Grapalat"/>
          <w:sz w:val="18"/>
          <w:szCs w:val="18"/>
        </w:rPr>
        <w:t xml:space="preserve"> </w:t>
      </w:r>
    </w:p>
  </w:footnote>
  <w:footnote w:id="5">
    <w:p w:rsidR="00B84E08" w:rsidRPr="00E309DA" w:rsidRDefault="00B84E08" w:rsidP="00664493">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6">
    <w:p w:rsidR="00B84E08" w:rsidRPr="00793C13" w:rsidRDefault="00B84E08" w:rsidP="00664493">
      <w:pPr>
        <w:pStyle w:val="FootnoteText"/>
        <w:jc w:val="both"/>
        <w:rPr>
          <w:rFonts w:ascii="GHEA Grapalat" w:hAnsi="GHEA Grapalat"/>
          <w:sz w:val="18"/>
          <w:szCs w:val="18"/>
        </w:rPr>
      </w:pPr>
      <w:r w:rsidRPr="00793C13">
        <w:rPr>
          <w:rStyle w:val="FootnoteReference"/>
          <w:rFonts w:ascii="GHEA Grapalat" w:hAnsi="GHEA Grapalat"/>
          <w:sz w:val="18"/>
          <w:szCs w:val="18"/>
        </w:rPr>
        <w:footnoteRef/>
      </w:r>
      <w:r w:rsidRPr="00793C13">
        <w:rPr>
          <w:rFonts w:ascii="GHEA Grapalat" w:hAnsi="GHEA Grapalat"/>
          <w:sz w:val="18"/>
          <w:szCs w:val="18"/>
        </w:rPr>
        <w:t xml:space="preserve"> Աղբյուրը՝ Համաշխարհային բանկ, </w:t>
      </w:r>
      <w:hyperlink r:id="rId5" w:history="1">
        <w:r w:rsidRPr="00793C13">
          <w:rPr>
            <w:rStyle w:val="Hyperlink"/>
            <w:rFonts w:ascii="GHEA Grapalat" w:hAnsi="GHEA Grapalat"/>
            <w:sz w:val="18"/>
            <w:szCs w:val="18"/>
          </w:rPr>
          <w:t>https://www.worldbank.org/en/research/commodity-markets</w:t>
        </w:r>
      </w:hyperlink>
      <w:r w:rsidRPr="00793C13">
        <w:rPr>
          <w:rFonts w:ascii="GHEA Grapalat" w:hAnsi="GHEA Grapalat"/>
          <w:sz w:val="18"/>
          <w:szCs w:val="18"/>
        </w:rPr>
        <w:t xml:space="preserve"> </w:t>
      </w:r>
    </w:p>
  </w:footnote>
  <w:footnote w:id="7">
    <w:p w:rsidR="00B84E08" w:rsidRPr="00793C13" w:rsidRDefault="00B84E08" w:rsidP="00664493">
      <w:pPr>
        <w:pStyle w:val="FootnoteText"/>
        <w:rPr>
          <w:rFonts w:ascii="GHEA Grapalat" w:hAnsi="GHEA Grapalat"/>
          <w:sz w:val="18"/>
          <w:szCs w:val="18"/>
        </w:rPr>
      </w:pPr>
      <w:r w:rsidRPr="00793C13">
        <w:rPr>
          <w:rStyle w:val="FootnoteReference"/>
          <w:rFonts w:ascii="GHEA Grapalat" w:hAnsi="GHEA Grapalat"/>
          <w:sz w:val="18"/>
          <w:szCs w:val="18"/>
        </w:rPr>
        <w:footnoteRef/>
      </w:r>
      <w:r w:rsidRPr="00793C13">
        <w:rPr>
          <w:rFonts w:ascii="GHEA Grapalat" w:hAnsi="GHEA Grapalat"/>
          <w:sz w:val="18"/>
          <w:szCs w:val="18"/>
        </w:rPr>
        <w:t xml:space="preserve"> Աղբյուրը՝ ՄԱԿ – ի պարենի և գյուղատնտեսության կազմակերպություն </w:t>
      </w:r>
      <w:hyperlink r:id="rId6" w:history="1">
        <w:r w:rsidRPr="00793C13">
          <w:rPr>
            <w:rStyle w:val="Hyperlink"/>
            <w:rFonts w:ascii="GHEA Grapalat" w:hAnsi="GHEA Grapalat"/>
            <w:sz w:val="18"/>
            <w:szCs w:val="18"/>
          </w:rPr>
          <w:t>https://www.fao.org/worldfoodsituation/foodpricesindex/en/</w:t>
        </w:r>
      </w:hyperlink>
      <w:r w:rsidRPr="00793C13">
        <w:rPr>
          <w:rFonts w:ascii="GHEA Grapalat" w:hAnsi="GHEA Grapalat"/>
          <w:sz w:val="18"/>
          <w:szCs w:val="18"/>
        </w:rPr>
        <w:t xml:space="preserve"> </w:t>
      </w:r>
    </w:p>
  </w:footnote>
  <w:footnote w:id="8">
    <w:p w:rsidR="00B84E08" w:rsidRPr="00227321" w:rsidRDefault="00B84E08" w:rsidP="00664493">
      <w:pPr>
        <w:pStyle w:val="FootnoteText"/>
        <w:rPr>
          <w:rFonts w:ascii="GHEA Grapalat" w:hAnsi="GHEA Grapalat"/>
          <w:sz w:val="18"/>
          <w:szCs w:val="18"/>
        </w:rPr>
      </w:pPr>
      <w:r w:rsidRPr="00227321">
        <w:rPr>
          <w:rStyle w:val="FootnoteReference"/>
          <w:rFonts w:ascii="GHEA Grapalat" w:hAnsi="GHEA Grapalat"/>
          <w:sz w:val="18"/>
          <w:szCs w:val="18"/>
        </w:rPr>
        <w:footnoteRef/>
      </w:r>
      <w:r w:rsidRPr="00227321">
        <w:rPr>
          <w:rFonts w:ascii="GHEA Grapalat" w:hAnsi="GHEA Grapalat"/>
          <w:sz w:val="18"/>
          <w:szCs w:val="18"/>
        </w:rPr>
        <w:t xml:space="preserve"> Ճյուղերի մանրամասն ցուցանիշները ներկայացված են Հավելվածում:</w:t>
      </w:r>
    </w:p>
  </w:footnote>
  <w:footnote w:id="9">
    <w:p w:rsidR="00B84E08" w:rsidRPr="009D3E29" w:rsidRDefault="00B84E08" w:rsidP="009D3E29">
      <w:pPr>
        <w:pStyle w:val="FootnoteText"/>
        <w:jc w:val="both"/>
        <w:rPr>
          <w:rFonts w:ascii="GHEA Grapalat" w:hAnsi="GHEA Grapalat"/>
          <w:sz w:val="18"/>
          <w:szCs w:val="18"/>
        </w:rPr>
      </w:pPr>
      <w:r w:rsidRPr="009D3E29">
        <w:rPr>
          <w:rStyle w:val="FootnoteReference"/>
          <w:rFonts w:ascii="GHEA Grapalat" w:hAnsi="GHEA Grapalat"/>
          <w:sz w:val="18"/>
          <w:szCs w:val="18"/>
        </w:rPr>
        <w:footnoteRef/>
      </w:r>
      <w:r w:rsidRPr="009D3E29">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hAnsi="GHEA Grapalat"/>
          <w:sz w:val="18"/>
          <w:szCs w:val="18"/>
        </w:rPr>
        <w:t>՝</w:t>
      </w:r>
      <w:r w:rsidRPr="009D3E29">
        <w:rPr>
          <w:rFonts w:ascii="GHEA Grapalat" w:hAnsi="GHEA Grapalat"/>
          <w:sz w:val="18"/>
          <w:szCs w:val="18"/>
        </w:rPr>
        <w:t xml:space="preserve"> ամսական արտադրության տատանողականության հարթեցման անհրաժեշտությամբ:</w:t>
      </w:r>
    </w:p>
  </w:footnote>
  <w:footnote w:id="10">
    <w:p w:rsidR="00B84E08" w:rsidRPr="009D3E29" w:rsidRDefault="00B84E08" w:rsidP="009D3E29">
      <w:pPr>
        <w:pStyle w:val="FootnoteText"/>
        <w:jc w:val="both"/>
        <w:rPr>
          <w:rFonts w:ascii="GHEA Grapalat" w:hAnsi="GHEA Grapalat"/>
          <w:sz w:val="18"/>
          <w:szCs w:val="18"/>
          <w:highlight w:val="yellow"/>
        </w:rPr>
      </w:pPr>
      <w:r w:rsidRPr="009D3E29">
        <w:rPr>
          <w:rStyle w:val="FootnoteReference"/>
          <w:rFonts w:ascii="GHEA Grapalat" w:hAnsi="GHEA Grapalat"/>
          <w:sz w:val="18"/>
          <w:szCs w:val="18"/>
        </w:rPr>
        <w:footnoteRef/>
      </w:r>
      <w:r w:rsidRPr="009D3E29">
        <w:rPr>
          <w:rFonts w:ascii="GHEA Grapalat" w:hAnsi="GHEA Grapalat"/>
          <w:sz w:val="18"/>
          <w:szCs w:val="18"/>
        </w:rPr>
        <w:t xml:space="preserve"> </w:t>
      </w:r>
      <w:r w:rsidRPr="009D3E29">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1">
    <w:p w:rsidR="00B84E08" w:rsidRPr="00797DE3" w:rsidRDefault="00B84E08" w:rsidP="00664493">
      <w:pPr>
        <w:jc w:val="both"/>
        <w:rPr>
          <w:rFonts w:ascii="GHEA Grapalat" w:eastAsia="GHEA Grapalat" w:hAnsi="GHEA Grapalat" w:cs="GHEA Grapalat"/>
          <w:color w:val="000000"/>
          <w:sz w:val="18"/>
          <w:szCs w:val="18"/>
          <w:highlight w:val="yellow"/>
        </w:rPr>
      </w:pPr>
      <w:r w:rsidRPr="00797DE3">
        <w:rPr>
          <w:rStyle w:val="FootnoteReference"/>
          <w:rFonts w:ascii="GHEA Grapalat" w:hAnsi="GHEA Grapalat"/>
          <w:sz w:val="18"/>
          <w:szCs w:val="18"/>
        </w:rPr>
        <w:footnoteRef/>
      </w:r>
      <w:r w:rsidRPr="00797DE3">
        <w:rPr>
          <w:rFonts w:ascii="GHEA Grapalat" w:eastAsia="GHEA Grapalat" w:hAnsi="GHEA Grapalat" w:cs="GHEA Grapalat"/>
          <w:color w:val="000000"/>
          <w:sz w:val="18"/>
          <w:szCs w:val="18"/>
        </w:rPr>
        <w:t xml:space="preserve"> </w:t>
      </w:r>
      <w:r w:rsidRPr="00797DE3">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2">
    <w:p w:rsidR="00B84E08" w:rsidRPr="00797DE3" w:rsidRDefault="00B84E08" w:rsidP="00664493">
      <w:pPr>
        <w:jc w:val="both"/>
        <w:rPr>
          <w:rFonts w:ascii="GHEA Grapalat" w:eastAsia="GHEA Grapalat" w:hAnsi="GHEA Grapalat"/>
          <w:color w:val="000000"/>
          <w:sz w:val="18"/>
          <w:szCs w:val="18"/>
        </w:rPr>
      </w:pPr>
      <w:r w:rsidRPr="00797DE3">
        <w:rPr>
          <w:rFonts w:ascii="GHEA Grapalat" w:eastAsia="GHEA Grapalat" w:hAnsi="GHEA Grapalat"/>
          <w:color w:val="000000"/>
          <w:sz w:val="18"/>
          <w:szCs w:val="18"/>
          <w:vertAlign w:val="superscript"/>
        </w:rPr>
        <w:footnoteRef/>
      </w:r>
      <w:r w:rsidRPr="00797DE3">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3">
    <w:p w:rsidR="00B84E08" w:rsidRPr="009C680E" w:rsidRDefault="00B84E08" w:rsidP="00D87203">
      <w:pPr>
        <w:pBdr>
          <w:top w:val="nil"/>
          <w:left w:val="nil"/>
          <w:bottom w:val="nil"/>
          <w:right w:val="nil"/>
          <w:between w:val="nil"/>
        </w:pBdr>
        <w:jc w:val="both"/>
        <w:rPr>
          <w:rFonts w:ascii="GHEA Grapalat" w:hAnsi="GHEA Grapalat"/>
          <w:sz w:val="18"/>
          <w:szCs w:val="18"/>
        </w:rPr>
      </w:pPr>
      <w:r w:rsidRPr="009C680E">
        <w:rPr>
          <w:rStyle w:val="FootnoteReference"/>
          <w:rFonts w:ascii="GHEA Grapalat" w:hAnsi="GHEA Grapalat"/>
          <w:sz w:val="18"/>
          <w:szCs w:val="18"/>
        </w:rPr>
        <w:footnoteRef/>
      </w:r>
      <w:r w:rsidRPr="009C680E">
        <w:rPr>
          <w:rFonts w:ascii="GHEA Grapalat" w:eastAsia="GHEA Grapalat" w:hAnsi="GHEA Grapalat" w:cs="GHEA Grapalat"/>
          <w:i/>
          <w:color w:val="000000"/>
          <w:sz w:val="18"/>
          <w:szCs w:val="18"/>
        </w:rPr>
        <w:t xml:space="preserve"> </w:t>
      </w:r>
      <w:r w:rsidRPr="00EE3ED8">
        <w:rPr>
          <w:rFonts w:ascii="GHEA Grapalat" w:hAnsi="GHEA Grapalat"/>
          <w:i/>
          <w:sz w:val="18"/>
          <w:szCs w:val="18"/>
        </w:rPr>
        <w:t>Ներմուծման տվյալները ներկայացված են ՍԻՖ գներով:</w:t>
      </w:r>
      <w:r w:rsidRPr="009C680E">
        <w:rPr>
          <w:rFonts w:ascii="GHEA Grapalat" w:hAnsi="GHEA Grapalat"/>
          <w:sz w:val="18"/>
          <w:szCs w:val="18"/>
        </w:rPr>
        <w:t xml:space="preserve"> </w:t>
      </w:r>
    </w:p>
  </w:footnote>
  <w:footnote w:id="14">
    <w:p w:rsidR="00B84E08" w:rsidRPr="00AB6259" w:rsidRDefault="00B84E08" w:rsidP="00D87203">
      <w:pPr>
        <w:pStyle w:val="FootnoteText"/>
        <w:rPr>
          <w:rFonts w:ascii="GHEA Grapalat" w:eastAsia="GHEA Grapalat" w:hAnsi="GHEA Grapalat" w:cs="GHEA Grapalat"/>
          <w:color w:val="000000"/>
          <w:sz w:val="18"/>
          <w:szCs w:val="18"/>
        </w:rPr>
      </w:pPr>
      <w:r w:rsidRPr="00061A8F">
        <w:rPr>
          <w:rStyle w:val="FootnoteReference"/>
          <w:rFonts w:ascii="GHEA Grapalat" w:hAnsi="GHEA Grapalat"/>
          <w:sz w:val="18"/>
          <w:szCs w:val="18"/>
        </w:rPr>
        <w:footnoteRef/>
      </w:r>
      <w:r w:rsidRPr="00061A8F">
        <w:rPr>
          <w:rFonts w:ascii="GHEA Grapalat" w:hAnsi="GHEA Grapalat"/>
          <w:sz w:val="18"/>
          <w:szCs w:val="18"/>
        </w:rPr>
        <w:t xml:space="preserve"> </w:t>
      </w:r>
      <w:r w:rsidRPr="00061A8F">
        <w:rPr>
          <w:rFonts w:ascii="GHEA Grapalat" w:eastAsia="GHEA Grapalat" w:hAnsi="GHEA Grapalat" w:cs="GHEA Grapalat"/>
          <w:i/>
          <w:color w:val="000000"/>
          <w:sz w:val="18"/>
          <w:szCs w:val="18"/>
        </w:rPr>
        <w:t>Աղբյուրը` ՀՀ</w:t>
      </w:r>
      <w:r>
        <w:rPr>
          <w:rFonts w:ascii="GHEA Grapalat" w:eastAsia="GHEA Grapalat" w:hAnsi="GHEA Grapalat" w:cs="GHEA Grapalat"/>
          <w:i/>
          <w:color w:val="000000"/>
          <w:sz w:val="18"/>
          <w:szCs w:val="18"/>
        </w:rPr>
        <w:t xml:space="preserve"> </w:t>
      </w:r>
      <w:r w:rsidRPr="00061A8F">
        <w:rPr>
          <w:rFonts w:ascii="GHEA Grapalat" w:eastAsia="GHEA Grapalat" w:hAnsi="GHEA Grapalat" w:cs="GHEA Grapalat"/>
          <w:i/>
          <w:color w:val="000000"/>
          <w:sz w:val="18"/>
          <w:szCs w:val="18"/>
        </w:rPr>
        <w:t>վիճակագրական կոնիտե,</w:t>
      </w:r>
      <w:r>
        <w:rPr>
          <w:rFonts w:ascii="GHEA Grapalat" w:eastAsia="GHEA Grapalat" w:hAnsi="GHEA Grapalat" w:cs="GHEA Grapalat"/>
          <w:i/>
          <w:color w:val="000000"/>
          <w:sz w:val="18"/>
          <w:szCs w:val="18"/>
        </w:rPr>
        <w:t xml:space="preserve"> </w:t>
      </w:r>
      <w:r w:rsidRPr="00061A8F">
        <w:rPr>
          <w:rFonts w:ascii="GHEA Grapalat" w:eastAsia="GHEA Grapalat" w:hAnsi="GHEA Grapalat" w:cs="GHEA Grapalat"/>
          <w:i/>
          <w:color w:val="000000"/>
          <w:sz w:val="18"/>
          <w:szCs w:val="18"/>
        </w:rPr>
        <w:t>«Հայաստանի Հանրապետության սոցիալ-տնտեսական վիճակը» ամսական զեկույցներ</w:t>
      </w:r>
      <w:r w:rsidRPr="00061A8F">
        <w:rPr>
          <w:rFonts w:ascii="GHEA Grapalat" w:eastAsia="GHEA Grapalat" w:hAnsi="GHEA Grapalat" w:cs="GHEA Grapalat"/>
          <w:color w:val="000000"/>
          <w:sz w:val="18"/>
          <w:szCs w:val="18"/>
        </w:rPr>
        <w:t>:</w:t>
      </w:r>
    </w:p>
  </w:footnote>
  <w:footnote w:id="15">
    <w:p w:rsidR="00B84E08" w:rsidRPr="00C007A1" w:rsidRDefault="00B84E08" w:rsidP="00D87203">
      <w:pPr>
        <w:pStyle w:val="FootnoteText"/>
        <w:rPr>
          <w:rFonts w:ascii="GHEA Grapalat" w:hAnsi="GHEA Grapalat"/>
          <w:iCs/>
          <w:sz w:val="18"/>
          <w:szCs w:val="18"/>
        </w:rPr>
      </w:pPr>
      <w:r w:rsidRPr="00C007A1">
        <w:rPr>
          <w:rStyle w:val="FootnoteReference"/>
          <w:rFonts w:ascii="GHEA Grapalat" w:hAnsi="GHEA Grapalat"/>
          <w:iCs/>
          <w:sz w:val="18"/>
          <w:szCs w:val="18"/>
        </w:rPr>
        <w:footnoteRef/>
      </w:r>
      <w:r w:rsidRPr="00C007A1">
        <w:rPr>
          <w:rFonts w:ascii="GHEA Grapalat" w:hAnsi="GHEA Grapalat"/>
          <w:iCs/>
          <w:sz w:val="18"/>
          <w:szCs w:val="18"/>
        </w:rPr>
        <w:t xml:space="preserve"> </w:t>
      </w:r>
      <w:r w:rsidRPr="00C007A1">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1-ում</w:t>
      </w:r>
      <w:r w:rsidRPr="00C007A1">
        <w:rPr>
          <w:rFonts w:ascii="GHEA Grapalat" w:eastAsia="GHEA Grapalat" w:hAnsi="GHEA Grapalat" w:cs="GHEA Grapalat"/>
          <w:iCs/>
          <w:color w:val="000000"/>
          <w:sz w:val="18"/>
          <w:szCs w:val="18"/>
        </w:rPr>
        <w:t>:</w:t>
      </w:r>
    </w:p>
  </w:footnote>
  <w:footnote w:id="16">
    <w:p w:rsidR="00B84E08" w:rsidRPr="00C007A1" w:rsidRDefault="00B84E08" w:rsidP="00D87203">
      <w:pPr>
        <w:jc w:val="both"/>
        <w:rPr>
          <w:rFonts w:ascii="GHEA Grapalat" w:eastAsia="Merriweather" w:hAnsi="GHEA Grapalat" w:cs="Merriweather"/>
          <w:iCs/>
          <w:color w:val="000000"/>
          <w:sz w:val="18"/>
          <w:szCs w:val="18"/>
        </w:rPr>
      </w:pPr>
      <w:r w:rsidRPr="00C007A1">
        <w:rPr>
          <w:rStyle w:val="FootnoteReference"/>
          <w:rFonts w:ascii="GHEA Grapalat" w:hAnsi="GHEA Grapalat"/>
          <w:iCs/>
          <w:sz w:val="18"/>
          <w:szCs w:val="18"/>
        </w:rPr>
        <w:footnoteRef/>
      </w:r>
      <w:r w:rsidRPr="00C007A1">
        <w:rPr>
          <w:rFonts w:ascii="GHEA Grapalat" w:hAnsi="GHEA Grapalat"/>
          <w:iCs/>
          <w:color w:val="000000"/>
          <w:sz w:val="18"/>
          <w:szCs w:val="18"/>
        </w:rPr>
        <w:t xml:space="preserve"> </w:t>
      </w:r>
      <w:r w:rsidRPr="00C007A1">
        <w:rPr>
          <w:rFonts w:ascii="GHEA Grapalat" w:eastAsia="GHEA Grapalat" w:hAnsi="GHEA Grapalat" w:cs="GHEA Grapalat"/>
          <w:iCs/>
          <w:color w:val="000000"/>
          <w:sz w:val="18"/>
          <w:szCs w:val="18"/>
        </w:rPr>
        <w:t>Ապրանքների լայն տնտեսական դասակարգմամբ (BEC) 2021 թվականի պաշտոնական տվյալները կհրապարակվեն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7">
    <w:p w:rsidR="00B84E08" w:rsidRPr="00C007A1" w:rsidRDefault="00B84E08" w:rsidP="00D87203">
      <w:pPr>
        <w:pStyle w:val="FootnoteText"/>
        <w:rPr>
          <w:rFonts w:ascii="GHEA Grapalat" w:hAnsi="GHEA Grapalat"/>
          <w:iCs/>
          <w:sz w:val="18"/>
          <w:szCs w:val="18"/>
        </w:rPr>
      </w:pPr>
      <w:r w:rsidRPr="00C007A1">
        <w:rPr>
          <w:rStyle w:val="FootnoteReference"/>
          <w:rFonts w:ascii="GHEA Grapalat" w:hAnsi="GHEA Grapalat"/>
          <w:iCs/>
          <w:sz w:val="18"/>
          <w:szCs w:val="18"/>
        </w:rPr>
        <w:footnoteRef/>
      </w:r>
      <w:r w:rsidRPr="00C007A1">
        <w:rPr>
          <w:rFonts w:ascii="GHEA Grapalat" w:hAnsi="GHEA Grapalat"/>
          <w:iCs/>
          <w:sz w:val="18"/>
          <w:szCs w:val="18"/>
        </w:rPr>
        <w:t xml:space="preserve"> </w:t>
      </w:r>
      <w:r w:rsidRPr="00C007A1">
        <w:rPr>
          <w:rFonts w:ascii="GHEA Grapalat" w:eastAsia="GHEA Grapalat" w:hAnsi="GHEA Grapalat" w:cs="GHEA Grapalat"/>
          <w:iCs/>
          <w:color w:val="000000"/>
          <w:sz w:val="18"/>
          <w:szCs w:val="18"/>
        </w:rPr>
        <w:t xml:space="preserve">Մանրամասն ցուցանիշները ներկայացված են </w:t>
      </w:r>
      <w:r>
        <w:rPr>
          <w:rFonts w:ascii="GHEA Grapalat" w:eastAsia="GHEA Grapalat" w:hAnsi="GHEA Grapalat" w:cs="GHEA Grapalat"/>
          <w:iCs/>
          <w:color w:val="000000"/>
          <w:sz w:val="18"/>
          <w:szCs w:val="18"/>
        </w:rPr>
        <w:t>Աղյուսակ 1-ում</w:t>
      </w:r>
      <w:r w:rsidRPr="00C007A1">
        <w:rPr>
          <w:rFonts w:ascii="GHEA Grapalat" w:eastAsia="GHEA Grapalat" w:hAnsi="GHEA Grapalat" w:cs="GHEA Grapalat"/>
          <w:iCs/>
          <w:color w:val="000000"/>
          <w:sz w:val="18"/>
          <w:szCs w:val="18"/>
        </w:rPr>
        <w:t>:</w:t>
      </w:r>
    </w:p>
  </w:footnote>
  <w:footnote w:id="18">
    <w:p w:rsidR="00B84E08" w:rsidRPr="00606D99" w:rsidRDefault="00B84E08"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r w:rsidRPr="00606D99">
        <w:rPr>
          <w:rFonts w:ascii="GHEA Grapalat" w:hAnsi="GHEA Grapalat" w:cs="Sylfaen"/>
          <w:sz w:val="18"/>
          <w:szCs w:val="18"/>
        </w:rPr>
        <w:t>Աղբյուր՝ ՀՀ ԿԲ:</w:t>
      </w:r>
    </w:p>
  </w:footnote>
  <w:footnote w:id="19">
    <w:p w:rsidR="00B84E08" w:rsidRPr="002C0630" w:rsidRDefault="00B84E08" w:rsidP="00262F9B">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0">
    <w:p w:rsidR="00B84E08" w:rsidRPr="002C0630" w:rsidRDefault="00B84E08" w:rsidP="00262F9B">
      <w:pPr>
        <w:pStyle w:val="FootnoteText"/>
        <w:jc w:val="both"/>
        <w:rPr>
          <w:rFonts w:ascii="GHEA Grapalat" w:hAnsi="GHEA Grapalat"/>
        </w:rPr>
      </w:pPr>
      <w:r w:rsidRPr="007E72A4">
        <w:rPr>
          <w:rStyle w:val="FootnoteReference"/>
          <w:rFonts w:ascii="GHEA Grapalat" w:hAnsi="GHEA Grapalat"/>
          <w:sz w:val="18"/>
          <w:szCs w:val="18"/>
        </w:rPr>
        <w:footnoteRef/>
      </w:r>
      <w:r w:rsidRPr="002C0630">
        <w:rPr>
          <w:rFonts w:ascii="GHEA Grapalat" w:hAnsi="GHEA Grapalat"/>
          <w:sz w:val="18"/>
          <w:szCs w:val="18"/>
        </w:rPr>
        <w:t xml:space="preserve"> Աղբյուրը՝ ՀՀ ԿԲ և ՀՀ ՖՆ հաշվարկներ: </w:t>
      </w:r>
      <w:r>
        <w:rPr>
          <w:rFonts w:ascii="GHEA Grapalat" w:hAnsi="GHEA Grapalat"/>
          <w:sz w:val="18"/>
          <w:szCs w:val="18"/>
        </w:rPr>
        <w:t>Ա</w:t>
      </w:r>
      <w:r w:rsidRPr="002C0630">
        <w:rPr>
          <w:rFonts w:ascii="GHEA Grapalat" w:hAnsi="GHEA Grapalat"/>
          <w:sz w:val="18"/>
          <w:szCs w:val="18"/>
        </w:rPr>
        <w:t>ռանց դրամի արժևորման վարկերի և ավանդների աճի տեմպերը ՀՀ ՖՆ գնահատականն են՝ արտարժութային վարկերի և ավանդների հաշվարկի համար հիմք ընդունելով 2022թ</w:t>
      </w:r>
      <w:r>
        <w:rPr>
          <w:rFonts w:ascii="GHEA Grapalat" w:hAnsi="GHEA Grapalat"/>
          <w:sz w:val="18"/>
          <w:szCs w:val="18"/>
        </w:rPr>
        <w:t>.</w:t>
      </w:r>
      <w:r w:rsidRPr="002C0630">
        <w:rPr>
          <w:rFonts w:ascii="GHEA Grapalat" w:hAnsi="GHEA Grapalat"/>
          <w:sz w:val="18"/>
          <w:szCs w:val="18"/>
        </w:rPr>
        <w:t xml:space="preserve"> </w:t>
      </w:r>
      <w:r w:rsidRPr="002C0630">
        <w:rPr>
          <w:rFonts w:ascii="GHEA Grapalat" w:hAnsi="GHEA Grapalat" w:cs="GHEA Grapalat"/>
          <w:sz w:val="18"/>
          <w:szCs w:val="18"/>
        </w:rPr>
        <w:t>փետրվարի</w:t>
      </w:r>
      <w:r w:rsidRPr="002C0630">
        <w:rPr>
          <w:rFonts w:ascii="GHEA Grapalat" w:hAnsi="GHEA Grapalat"/>
          <w:sz w:val="18"/>
          <w:szCs w:val="18"/>
        </w:rPr>
        <w:t xml:space="preserve"> </w:t>
      </w:r>
      <w:r w:rsidRPr="002C0630">
        <w:rPr>
          <w:rFonts w:ascii="GHEA Grapalat" w:hAnsi="GHEA Grapalat" w:cs="GHEA Grapalat"/>
          <w:sz w:val="18"/>
          <w:szCs w:val="18"/>
        </w:rPr>
        <w:t>վերջի</w:t>
      </w:r>
      <w:r w:rsidRPr="002C0630">
        <w:rPr>
          <w:rFonts w:ascii="GHEA Grapalat" w:hAnsi="GHEA Grapalat"/>
          <w:sz w:val="18"/>
          <w:szCs w:val="18"/>
        </w:rPr>
        <w:t xml:space="preserve"> </w:t>
      </w:r>
      <w:r w:rsidRPr="002C0630">
        <w:rPr>
          <w:rFonts w:ascii="GHEA Grapalat" w:hAnsi="GHEA Grapalat" w:cs="GHEA Grapalat"/>
          <w:sz w:val="18"/>
          <w:szCs w:val="18"/>
        </w:rPr>
        <w:t>ԱՄՆ</w:t>
      </w:r>
      <w:r w:rsidRPr="002C0630">
        <w:rPr>
          <w:rFonts w:ascii="GHEA Grapalat" w:hAnsi="GHEA Grapalat"/>
          <w:sz w:val="18"/>
          <w:szCs w:val="18"/>
        </w:rPr>
        <w:t xml:space="preserve"> </w:t>
      </w:r>
      <w:r w:rsidRPr="002C0630">
        <w:rPr>
          <w:rFonts w:ascii="GHEA Grapalat" w:hAnsi="GHEA Grapalat" w:cs="GHEA Grapalat"/>
          <w:sz w:val="18"/>
          <w:szCs w:val="18"/>
        </w:rPr>
        <w:t>դոլար</w:t>
      </w:r>
      <w:r w:rsidRPr="002C0630">
        <w:rPr>
          <w:rFonts w:ascii="GHEA Grapalat" w:hAnsi="GHEA Grapalat"/>
          <w:sz w:val="18"/>
          <w:szCs w:val="18"/>
        </w:rPr>
        <w:t>/</w:t>
      </w:r>
      <w:r w:rsidRPr="002C0630">
        <w:rPr>
          <w:rFonts w:ascii="GHEA Grapalat" w:hAnsi="GHEA Grapalat" w:cs="GHEA Grapalat"/>
          <w:sz w:val="18"/>
          <w:szCs w:val="18"/>
        </w:rPr>
        <w:t>ՀՀ</w:t>
      </w:r>
      <w:r w:rsidRPr="002C0630">
        <w:rPr>
          <w:rFonts w:ascii="GHEA Grapalat" w:hAnsi="GHEA Grapalat"/>
          <w:sz w:val="18"/>
          <w:szCs w:val="18"/>
        </w:rPr>
        <w:t xml:space="preserve"> </w:t>
      </w:r>
      <w:r w:rsidRPr="002C0630">
        <w:rPr>
          <w:rFonts w:ascii="GHEA Grapalat" w:hAnsi="GHEA Grapalat" w:cs="GHEA Grapalat"/>
          <w:sz w:val="18"/>
          <w:szCs w:val="18"/>
        </w:rPr>
        <w:t>դրամ</w:t>
      </w:r>
      <w:r w:rsidRPr="002C0630">
        <w:rPr>
          <w:rFonts w:ascii="GHEA Grapalat" w:hAnsi="GHEA Grapalat"/>
          <w:sz w:val="18"/>
          <w:szCs w:val="18"/>
        </w:rPr>
        <w:t xml:space="preserve"> փոխարժեքը։</w:t>
      </w:r>
    </w:p>
  </w:footnote>
  <w:footnote w:id="21">
    <w:p w:rsidR="00B84E08" w:rsidRPr="002C0630" w:rsidRDefault="00B84E08" w:rsidP="00262F9B">
      <w:pPr>
        <w:pStyle w:val="FootnoteText"/>
        <w:rPr>
          <w:rFonts w:ascii="GHEA Grapalat" w:hAnsi="GHEA Grapalat"/>
          <w:sz w:val="18"/>
        </w:rPr>
      </w:pPr>
      <w:r w:rsidRPr="007E72A4">
        <w:rPr>
          <w:rStyle w:val="FootnoteReference"/>
          <w:rFonts w:ascii="GHEA Grapalat" w:hAnsi="GHEA Grapalat"/>
          <w:sz w:val="18"/>
        </w:rPr>
        <w:footnoteRef/>
      </w:r>
      <w:r w:rsidRPr="002C0630">
        <w:rPr>
          <w:rFonts w:ascii="GHEA Grapalat" w:hAnsi="GHEA Grapalat"/>
          <w:sz w:val="18"/>
        </w:rPr>
        <w:t xml:space="preserve"> Ըստ ՀՀ ՖՆ գնահատականների։ </w:t>
      </w:r>
    </w:p>
  </w:footnote>
  <w:footnote w:id="22">
    <w:p w:rsidR="00B84E08" w:rsidRPr="00B57DAB" w:rsidRDefault="00B84E08" w:rsidP="00262F9B">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B84E08" w:rsidRPr="00B57DAB" w:rsidRDefault="00B84E08" w:rsidP="00262F9B">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w:t>
      </w:r>
      <w:r>
        <w:rPr>
          <w:rFonts w:ascii="GHEA Grapalat" w:eastAsia="GHEA Grapalat" w:hAnsi="GHEA Grapalat" w:cs="GHEA Grapalat"/>
          <w:color w:val="000000"/>
          <w:sz w:val="18"/>
          <w:szCs w:val="18"/>
        </w:rPr>
        <w:t>ո</w:t>
      </w:r>
      <w:r w:rsidRPr="00B57DAB">
        <w:rPr>
          <w:rFonts w:ascii="GHEA Grapalat" w:eastAsia="GHEA Grapalat" w:hAnsi="GHEA Grapalat" w:cs="GHEA Grapalat"/>
          <w:color w:val="000000"/>
          <w:sz w:val="18"/>
          <w:szCs w:val="18"/>
        </w:rPr>
        <w:t>րման գումարները:</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EE138E8"/>
    <w:multiLevelType w:val="hybridMultilevel"/>
    <w:tmpl w:val="BD249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C232E5"/>
    <w:multiLevelType w:val="hybridMultilevel"/>
    <w:tmpl w:val="583088E8"/>
    <w:lvl w:ilvl="0" w:tplc="BABC6F88">
      <w:start w:val="1"/>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1"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3"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3"/>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4"/>
  </w:num>
  <w:num w:numId="5">
    <w:abstractNumId w:val="12"/>
  </w:num>
  <w:num w:numId="6">
    <w:abstractNumId w:val="10"/>
  </w:num>
  <w:num w:numId="7">
    <w:abstractNumId w:val="11"/>
  </w:num>
  <w:num w:numId="8">
    <w:abstractNumId w:val="2"/>
  </w:num>
  <w:num w:numId="9">
    <w:abstractNumId w:val="14"/>
  </w:num>
  <w:num w:numId="10">
    <w:abstractNumId w:val="9"/>
  </w:num>
  <w:num w:numId="11">
    <w:abstractNumId w:val="6"/>
  </w:num>
  <w:num w:numId="12">
    <w:abstractNumId w:val="8"/>
  </w:num>
  <w:num w:numId="13">
    <w:abstractNumId w:val="5"/>
  </w:num>
  <w:num w:numId="14">
    <w:abstractNumId w:val="3"/>
  </w:num>
  <w:num w:numId="15">
    <w:abstractNumId w:val="5"/>
    <w:lvlOverride w:ilvl="0">
      <w:startOverride w:val="8"/>
    </w:lvlOverride>
  </w:num>
  <w:num w:numId="16">
    <w:abstractNumId w:val="5"/>
    <w:lvlOverride w:ilvl="0">
      <w:startOverride w:val="21"/>
    </w:lvlOverride>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de-AT" w:vendorID="64" w:dllVersion="131078" w:nlCheck="1" w:checkStyle="0"/>
  <w:activeWritingStyle w:appName="MSWord" w:lang="ru-RU"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59F"/>
    <w:rsid w:val="000008BF"/>
    <w:rsid w:val="00000A78"/>
    <w:rsid w:val="00000B30"/>
    <w:rsid w:val="00000B8F"/>
    <w:rsid w:val="00000CC6"/>
    <w:rsid w:val="00000D27"/>
    <w:rsid w:val="00001056"/>
    <w:rsid w:val="0000105D"/>
    <w:rsid w:val="00001128"/>
    <w:rsid w:val="000011F1"/>
    <w:rsid w:val="00001662"/>
    <w:rsid w:val="0000177A"/>
    <w:rsid w:val="00001C9D"/>
    <w:rsid w:val="00001EEE"/>
    <w:rsid w:val="00002068"/>
    <w:rsid w:val="000022D8"/>
    <w:rsid w:val="000025B3"/>
    <w:rsid w:val="000029AF"/>
    <w:rsid w:val="00002ABD"/>
    <w:rsid w:val="00002C1B"/>
    <w:rsid w:val="00002F7E"/>
    <w:rsid w:val="000031B4"/>
    <w:rsid w:val="0000344E"/>
    <w:rsid w:val="00003850"/>
    <w:rsid w:val="00003AE8"/>
    <w:rsid w:val="00003D93"/>
    <w:rsid w:val="00003E0C"/>
    <w:rsid w:val="00003E67"/>
    <w:rsid w:val="000043A0"/>
    <w:rsid w:val="000043EC"/>
    <w:rsid w:val="000046E0"/>
    <w:rsid w:val="00004782"/>
    <w:rsid w:val="0000488C"/>
    <w:rsid w:val="000049ED"/>
    <w:rsid w:val="00004BF5"/>
    <w:rsid w:val="00004EB7"/>
    <w:rsid w:val="000050D8"/>
    <w:rsid w:val="000051A1"/>
    <w:rsid w:val="00005FE7"/>
    <w:rsid w:val="000062A7"/>
    <w:rsid w:val="00006BE1"/>
    <w:rsid w:val="00006C8E"/>
    <w:rsid w:val="00006D44"/>
    <w:rsid w:val="00006F51"/>
    <w:rsid w:val="0000797B"/>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2DBA"/>
    <w:rsid w:val="00013BAF"/>
    <w:rsid w:val="0001467A"/>
    <w:rsid w:val="00014ACD"/>
    <w:rsid w:val="000158E4"/>
    <w:rsid w:val="00015A48"/>
    <w:rsid w:val="00015E17"/>
    <w:rsid w:val="000161BC"/>
    <w:rsid w:val="0001629D"/>
    <w:rsid w:val="000164D9"/>
    <w:rsid w:val="00016DE5"/>
    <w:rsid w:val="00017132"/>
    <w:rsid w:val="00017218"/>
    <w:rsid w:val="00017681"/>
    <w:rsid w:val="00017960"/>
    <w:rsid w:val="00020407"/>
    <w:rsid w:val="00020C2C"/>
    <w:rsid w:val="00020D2D"/>
    <w:rsid w:val="000211AB"/>
    <w:rsid w:val="000211EA"/>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B6D"/>
    <w:rsid w:val="00025C71"/>
    <w:rsid w:val="00027266"/>
    <w:rsid w:val="00027310"/>
    <w:rsid w:val="000279CC"/>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858"/>
    <w:rsid w:val="00045922"/>
    <w:rsid w:val="00045C3D"/>
    <w:rsid w:val="00045F1D"/>
    <w:rsid w:val="00046182"/>
    <w:rsid w:val="00046DBB"/>
    <w:rsid w:val="00046EC2"/>
    <w:rsid w:val="00046EF6"/>
    <w:rsid w:val="0005023D"/>
    <w:rsid w:val="000504E3"/>
    <w:rsid w:val="000506B4"/>
    <w:rsid w:val="00050F0E"/>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5E3C"/>
    <w:rsid w:val="00066648"/>
    <w:rsid w:val="00067106"/>
    <w:rsid w:val="000677FB"/>
    <w:rsid w:val="00067916"/>
    <w:rsid w:val="000702B1"/>
    <w:rsid w:val="0007069D"/>
    <w:rsid w:val="00070B99"/>
    <w:rsid w:val="00070ED4"/>
    <w:rsid w:val="000710A9"/>
    <w:rsid w:val="00071461"/>
    <w:rsid w:val="000715C1"/>
    <w:rsid w:val="00071BFB"/>
    <w:rsid w:val="00071E16"/>
    <w:rsid w:val="00071EF6"/>
    <w:rsid w:val="000722F9"/>
    <w:rsid w:val="00072746"/>
    <w:rsid w:val="00072776"/>
    <w:rsid w:val="00072917"/>
    <w:rsid w:val="00072933"/>
    <w:rsid w:val="00072BF4"/>
    <w:rsid w:val="00073125"/>
    <w:rsid w:val="00073296"/>
    <w:rsid w:val="00073EEA"/>
    <w:rsid w:val="00074532"/>
    <w:rsid w:val="00074829"/>
    <w:rsid w:val="00074F9B"/>
    <w:rsid w:val="00075484"/>
    <w:rsid w:val="00075682"/>
    <w:rsid w:val="00075BBB"/>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C25"/>
    <w:rsid w:val="00097145"/>
    <w:rsid w:val="0009773B"/>
    <w:rsid w:val="000977F9"/>
    <w:rsid w:val="000A00F2"/>
    <w:rsid w:val="000A0728"/>
    <w:rsid w:val="000A0910"/>
    <w:rsid w:val="000A0F70"/>
    <w:rsid w:val="000A0F85"/>
    <w:rsid w:val="000A13EE"/>
    <w:rsid w:val="000A1454"/>
    <w:rsid w:val="000A17CB"/>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2A3"/>
    <w:rsid w:val="000A6673"/>
    <w:rsid w:val="000A67FF"/>
    <w:rsid w:val="000A6ACE"/>
    <w:rsid w:val="000A6FCA"/>
    <w:rsid w:val="000A7633"/>
    <w:rsid w:val="000B0356"/>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5693"/>
    <w:rsid w:val="000B6458"/>
    <w:rsid w:val="000B67DC"/>
    <w:rsid w:val="000B7B4F"/>
    <w:rsid w:val="000C00D7"/>
    <w:rsid w:val="000C0BFF"/>
    <w:rsid w:val="000C1002"/>
    <w:rsid w:val="000C1290"/>
    <w:rsid w:val="000C210B"/>
    <w:rsid w:val="000C21A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52C"/>
    <w:rsid w:val="000C5639"/>
    <w:rsid w:val="000C591A"/>
    <w:rsid w:val="000C59C4"/>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D7EF5"/>
    <w:rsid w:val="000E02B5"/>
    <w:rsid w:val="000E08DA"/>
    <w:rsid w:val="000E08E0"/>
    <w:rsid w:val="000E08E1"/>
    <w:rsid w:val="000E17F6"/>
    <w:rsid w:val="000E1AE6"/>
    <w:rsid w:val="000E1BCA"/>
    <w:rsid w:val="000E2342"/>
    <w:rsid w:val="000E2648"/>
    <w:rsid w:val="000E2AEB"/>
    <w:rsid w:val="000E2CB0"/>
    <w:rsid w:val="000E2D89"/>
    <w:rsid w:val="000E36BF"/>
    <w:rsid w:val="000E3EEF"/>
    <w:rsid w:val="000E440D"/>
    <w:rsid w:val="000E459E"/>
    <w:rsid w:val="000E45F5"/>
    <w:rsid w:val="000E4890"/>
    <w:rsid w:val="000E50D7"/>
    <w:rsid w:val="000E561C"/>
    <w:rsid w:val="000E5AAC"/>
    <w:rsid w:val="000E5AC9"/>
    <w:rsid w:val="000E5C16"/>
    <w:rsid w:val="000E607C"/>
    <w:rsid w:val="000E6593"/>
    <w:rsid w:val="000E65BD"/>
    <w:rsid w:val="000E66A4"/>
    <w:rsid w:val="000E693B"/>
    <w:rsid w:val="000E6D42"/>
    <w:rsid w:val="000F010A"/>
    <w:rsid w:val="000F01B4"/>
    <w:rsid w:val="000F04EB"/>
    <w:rsid w:val="000F0A36"/>
    <w:rsid w:val="000F0A76"/>
    <w:rsid w:val="000F0DD9"/>
    <w:rsid w:val="000F1737"/>
    <w:rsid w:val="000F1828"/>
    <w:rsid w:val="000F1D6B"/>
    <w:rsid w:val="000F23F8"/>
    <w:rsid w:val="000F25F2"/>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3DE9"/>
    <w:rsid w:val="00104D90"/>
    <w:rsid w:val="0010525B"/>
    <w:rsid w:val="0010537C"/>
    <w:rsid w:val="00105703"/>
    <w:rsid w:val="00105757"/>
    <w:rsid w:val="00105FE9"/>
    <w:rsid w:val="001063E9"/>
    <w:rsid w:val="001066F3"/>
    <w:rsid w:val="001068A5"/>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488"/>
    <w:rsid w:val="0011473D"/>
    <w:rsid w:val="00115A51"/>
    <w:rsid w:val="00115B85"/>
    <w:rsid w:val="001161C7"/>
    <w:rsid w:val="00116295"/>
    <w:rsid w:val="00116618"/>
    <w:rsid w:val="0011667C"/>
    <w:rsid w:val="00116AC0"/>
    <w:rsid w:val="00116AE0"/>
    <w:rsid w:val="00116BDF"/>
    <w:rsid w:val="00120218"/>
    <w:rsid w:val="0012042C"/>
    <w:rsid w:val="00120584"/>
    <w:rsid w:val="00121052"/>
    <w:rsid w:val="00121233"/>
    <w:rsid w:val="001213D9"/>
    <w:rsid w:val="00121DDF"/>
    <w:rsid w:val="00123C2D"/>
    <w:rsid w:val="00123FD7"/>
    <w:rsid w:val="00124269"/>
    <w:rsid w:val="001243F3"/>
    <w:rsid w:val="001246C0"/>
    <w:rsid w:val="0012480D"/>
    <w:rsid w:val="00124C04"/>
    <w:rsid w:val="00125BA3"/>
    <w:rsid w:val="00125EF4"/>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90A"/>
    <w:rsid w:val="0013131F"/>
    <w:rsid w:val="0013158E"/>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B7B"/>
    <w:rsid w:val="00136D94"/>
    <w:rsid w:val="00136E60"/>
    <w:rsid w:val="001376F7"/>
    <w:rsid w:val="0013772C"/>
    <w:rsid w:val="00137970"/>
    <w:rsid w:val="0014012C"/>
    <w:rsid w:val="00140193"/>
    <w:rsid w:val="001402CF"/>
    <w:rsid w:val="00140A82"/>
    <w:rsid w:val="00140F3A"/>
    <w:rsid w:val="0014138F"/>
    <w:rsid w:val="001415E8"/>
    <w:rsid w:val="00141B99"/>
    <w:rsid w:val="0014241E"/>
    <w:rsid w:val="00142659"/>
    <w:rsid w:val="001429C8"/>
    <w:rsid w:val="00142B12"/>
    <w:rsid w:val="00142DA1"/>
    <w:rsid w:val="001430CF"/>
    <w:rsid w:val="0014333B"/>
    <w:rsid w:val="00143704"/>
    <w:rsid w:val="0014378E"/>
    <w:rsid w:val="00143939"/>
    <w:rsid w:val="00143B7A"/>
    <w:rsid w:val="00143C1C"/>
    <w:rsid w:val="001445A4"/>
    <w:rsid w:val="00144B31"/>
    <w:rsid w:val="001450E0"/>
    <w:rsid w:val="00145F1C"/>
    <w:rsid w:val="00146010"/>
    <w:rsid w:val="0014685D"/>
    <w:rsid w:val="00146D21"/>
    <w:rsid w:val="001472B2"/>
    <w:rsid w:val="00147407"/>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3B"/>
    <w:rsid w:val="00161C6D"/>
    <w:rsid w:val="00162472"/>
    <w:rsid w:val="00162647"/>
    <w:rsid w:val="001628A4"/>
    <w:rsid w:val="00162CE6"/>
    <w:rsid w:val="00162E64"/>
    <w:rsid w:val="001634D1"/>
    <w:rsid w:val="00164845"/>
    <w:rsid w:val="001650C4"/>
    <w:rsid w:val="00165285"/>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9E2"/>
    <w:rsid w:val="00177A7D"/>
    <w:rsid w:val="00177AB3"/>
    <w:rsid w:val="00177E33"/>
    <w:rsid w:val="001800AF"/>
    <w:rsid w:val="00180101"/>
    <w:rsid w:val="001807D6"/>
    <w:rsid w:val="00180C80"/>
    <w:rsid w:val="001816F5"/>
    <w:rsid w:val="001821E6"/>
    <w:rsid w:val="00182384"/>
    <w:rsid w:val="001828E9"/>
    <w:rsid w:val="00182C22"/>
    <w:rsid w:val="00182D91"/>
    <w:rsid w:val="001833C0"/>
    <w:rsid w:val="001841EF"/>
    <w:rsid w:val="00184E74"/>
    <w:rsid w:val="00184F3E"/>
    <w:rsid w:val="0018536A"/>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63"/>
    <w:rsid w:val="00194E77"/>
    <w:rsid w:val="00194E8C"/>
    <w:rsid w:val="0019574B"/>
    <w:rsid w:val="0019579A"/>
    <w:rsid w:val="001958A2"/>
    <w:rsid w:val="00195A44"/>
    <w:rsid w:val="00196396"/>
    <w:rsid w:val="0019684E"/>
    <w:rsid w:val="0019686E"/>
    <w:rsid w:val="00196EB5"/>
    <w:rsid w:val="001970F5"/>
    <w:rsid w:val="001976FC"/>
    <w:rsid w:val="00197719"/>
    <w:rsid w:val="00197C1E"/>
    <w:rsid w:val="001A02A4"/>
    <w:rsid w:val="001A0BCE"/>
    <w:rsid w:val="001A0F82"/>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B0247"/>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195"/>
    <w:rsid w:val="001B6546"/>
    <w:rsid w:val="001B6807"/>
    <w:rsid w:val="001B6B0D"/>
    <w:rsid w:val="001B6CF6"/>
    <w:rsid w:val="001B6FA4"/>
    <w:rsid w:val="001B7566"/>
    <w:rsid w:val="001B7881"/>
    <w:rsid w:val="001B7FDA"/>
    <w:rsid w:val="001C05B7"/>
    <w:rsid w:val="001C05FE"/>
    <w:rsid w:val="001C0D1F"/>
    <w:rsid w:val="001C0D8B"/>
    <w:rsid w:val="001C0DB1"/>
    <w:rsid w:val="001C1378"/>
    <w:rsid w:val="001C165B"/>
    <w:rsid w:val="001C1A31"/>
    <w:rsid w:val="001C228D"/>
    <w:rsid w:val="001C2633"/>
    <w:rsid w:val="001C2B59"/>
    <w:rsid w:val="001C2CA9"/>
    <w:rsid w:val="001C3187"/>
    <w:rsid w:val="001C3737"/>
    <w:rsid w:val="001C38E5"/>
    <w:rsid w:val="001C3EBB"/>
    <w:rsid w:val="001C46A3"/>
    <w:rsid w:val="001C49C9"/>
    <w:rsid w:val="001C4F59"/>
    <w:rsid w:val="001C4F78"/>
    <w:rsid w:val="001C5318"/>
    <w:rsid w:val="001C5B5A"/>
    <w:rsid w:val="001C5D64"/>
    <w:rsid w:val="001C60C1"/>
    <w:rsid w:val="001C6275"/>
    <w:rsid w:val="001C62F7"/>
    <w:rsid w:val="001C6714"/>
    <w:rsid w:val="001C6807"/>
    <w:rsid w:val="001C6ECF"/>
    <w:rsid w:val="001C74A1"/>
    <w:rsid w:val="001C77D7"/>
    <w:rsid w:val="001C79B0"/>
    <w:rsid w:val="001C7F7C"/>
    <w:rsid w:val="001D009B"/>
    <w:rsid w:val="001D0330"/>
    <w:rsid w:val="001D0801"/>
    <w:rsid w:val="001D086A"/>
    <w:rsid w:val="001D0939"/>
    <w:rsid w:val="001D0C5D"/>
    <w:rsid w:val="001D0E09"/>
    <w:rsid w:val="001D1493"/>
    <w:rsid w:val="001D1571"/>
    <w:rsid w:val="001D171A"/>
    <w:rsid w:val="001D1AB2"/>
    <w:rsid w:val="001D1F16"/>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86D"/>
    <w:rsid w:val="001E0DA2"/>
    <w:rsid w:val="001E10A5"/>
    <w:rsid w:val="001E13A1"/>
    <w:rsid w:val="001E21C8"/>
    <w:rsid w:val="001E220B"/>
    <w:rsid w:val="001E2410"/>
    <w:rsid w:val="001E27E4"/>
    <w:rsid w:val="001E284B"/>
    <w:rsid w:val="001E28D0"/>
    <w:rsid w:val="001E3392"/>
    <w:rsid w:val="001E33A0"/>
    <w:rsid w:val="001E3944"/>
    <w:rsid w:val="001E3999"/>
    <w:rsid w:val="001E3A38"/>
    <w:rsid w:val="001E40F8"/>
    <w:rsid w:val="001E4393"/>
    <w:rsid w:val="001E57E0"/>
    <w:rsid w:val="001E5A18"/>
    <w:rsid w:val="001E63BA"/>
    <w:rsid w:val="001E6F9F"/>
    <w:rsid w:val="001E7441"/>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22D"/>
    <w:rsid w:val="001F53DC"/>
    <w:rsid w:val="001F56B2"/>
    <w:rsid w:val="001F58C4"/>
    <w:rsid w:val="001F5A85"/>
    <w:rsid w:val="001F6505"/>
    <w:rsid w:val="001F6E53"/>
    <w:rsid w:val="001F6E8C"/>
    <w:rsid w:val="001F76F5"/>
    <w:rsid w:val="001F7839"/>
    <w:rsid w:val="001F7B05"/>
    <w:rsid w:val="001F7D18"/>
    <w:rsid w:val="00200008"/>
    <w:rsid w:val="00200648"/>
    <w:rsid w:val="00200654"/>
    <w:rsid w:val="002006A0"/>
    <w:rsid w:val="00200996"/>
    <w:rsid w:val="00200A82"/>
    <w:rsid w:val="0020122A"/>
    <w:rsid w:val="002013E5"/>
    <w:rsid w:val="00203011"/>
    <w:rsid w:val="0020315E"/>
    <w:rsid w:val="0020317D"/>
    <w:rsid w:val="00203982"/>
    <w:rsid w:val="00203ACE"/>
    <w:rsid w:val="0020429E"/>
    <w:rsid w:val="00204364"/>
    <w:rsid w:val="00204C21"/>
    <w:rsid w:val="00204CB9"/>
    <w:rsid w:val="00205003"/>
    <w:rsid w:val="00205A1D"/>
    <w:rsid w:val="00206281"/>
    <w:rsid w:val="002065CF"/>
    <w:rsid w:val="00206604"/>
    <w:rsid w:val="0020672B"/>
    <w:rsid w:val="00206803"/>
    <w:rsid w:val="00206FE1"/>
    <w:rsid w:val="002074E1"/>
    <w:rsid w:val="002075BB"/>
    <w:rsid w:val="00207A92"/>
    <w:rsid w:val="00207AE1"/>
    <w:rsid w:val="00207EA1"/>
    <w:rsid w:val="00207F2F"/>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2FED"/>
    <w:rsid w:val="0021352E"/>
    <w:rsid w:val="00214A42"/>
    <w:rsid w:val="00214A63"/>
    <w:rsid w:val="00214D89"/>
    <w:rsid w:val="00214DD2"/>
    <w:rsid w:val="002157F2"/>
    <w:rsid w:val="00216631"/>
    <w:rsid w:val="0021671A"/>
    <w:rsid w:val="00216768"/>
    <w:rsid w:val="00216C49"/>
    <w:rsid w:val="00217093"/>
    <w:rsid w:val="002174A2"/>
    <w:rsid w:val="00217FCC"/>
    <w:rsid w:val="002206A9"/>
    <w:rsid w:val="00220A7B"/>
    <w:rsid w:val="00220DBB"/>
    <w:rsid w:val="00221060"/>
    <w:rsid w:val="002210EE"/>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890"/>
    <w:rsid w:val="00226D15"/>
    <w:rsid w:val="002271CE"/>
    <w:rsid w:val="00227321"/>
    <w:rsid w:val="00227931"/>
    <w:rsid w:val="00227A68"/>
    <w:rsid w:val="00227C7A"/>
    <w:rsid w:val="00230A6E"/>
    <w:rsid w:val="00231A8D"/>
    <w:rsid w:val="00231C62"/>
    <w:rsid w:val="00232248"/>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4CA"/>
    <w:rsid w:val="00237706"/>
    <w:rsid w:val="00237A24"/>
    <w:rsid w:val="00237E40"/>
    <w:rsid w:val="00240397"/>
    <w:rsid w:val="00240596"/>
    <w:rsid w:val="002406D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CE"/>
    <w:rsid w:val="002452EC"/>
    <w:rsid w:val="00245546"/>
    <w:rsid w:val="00245978"/>
    <w:rsid w:val="00245DE6"/>
    <w:rsid w:val="00245F22"/>
    <w:rsid w:val="00246494"/>
    <w:rsid w:val="00246841"/>
    <w:rsid w:val="00246AFD"/>
    <w:rsid w:val="00246EC4"/>
    <w:rsid w:val="002470CE"/>
    <w:rsid w:val="002475F4"/>
    <w:rsid w:val="002479A4"/>
    <w:rsid w:val="00250216"/>
    <w:rsid w:val="0025043C"/>
    <w:rsid w:val="002506C3"/>
    <w:rsid w:val="00250F94"/>
    <w:rsid w:val="002511C4"/>
    <w:rsid w:val="0025134E"/>
    <w:rsid w:val="002521B4"/>
    <w:rsid w:val="00252227"/>
    <w:rsid w:val="002523A8"/>
    <w:rsid w:val="00252747"/>
    <w:rsid w:val="002528AF"/>
    <w:rsid w:val="00252B7D"/>
    <w:rsid w:val="00252EAA"/>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72E"/>
    <w:rsid w:val="002608DC"/>
    <w:rsid w:val="00260AA9"/>
    <w:rsid w:val="002619EC"/>
    <w:rsid w:val="002620EE"/>
    <w:rsid w:val="00262564"/>
    <w:rsid w:val="002628D7"/>
    <w:rsid w:val="00262D10"/>
    <w:rsid w:val="00262F9B"/>
    <w:rsid w:val="002631D1"/>
    <w:rsid w:val="002633CA"/>
    <w:rsid w:val="002634CA"/>
    <w:rsid w:val="00263967"/>
    <w:rsid w:val="002639CF"/>
    <w:rsid w:val="00263F2C"/>
    <w:rsid w:val="0026517F"/>
    <w:rsid w:val="00265189"/>
    <w:rsid w:val="002655DA"/>
    <w:rsid w:val="00265B4D"/>
    <w:rsid w:val="0026691F"/>
    <w:rsid w:val="00266F81"/>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0"/>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276"/>
    <w:rsid w:val="002804EF"/>
    <w:rsid w:val="00280B74"/>
    <w:rsid w:val="00280CFC"/>
    <w:rsid w:val="0028125D"/>
    <w:rsid w:val="0028133F"/>
    <w:rsid w:val="002817A7"/>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AA5"/>
    <w:rsid w:val="0029236F"/>
    <w:rsid w:val="00292A1A"/>
    <w:rsid w:val="0029332E"/>
    <w:rsid w:val="00293445"/>
    <w:rsid w:val="002935FC"/>
    <w:rsid w:val="002935FE"/>
    <w:rsid w:val="00293933"/>
    <w:rsid w:val="0029404A"/>
    <w:rsid w:val="0029407B"/>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1007"/>
    <w:rsid w:val="002A131C"/>
    <w:rsid w:val="002A166A"/>
    <w:rsid w:val="002A1EC3"/>
    <w:rsid w:val="002A246F"/>
    <w:rsid w:val="002A497E"/>
    <w:rsid w:val="002A4B9F"/>
    <w:rsid w:val="002A4F4D"/>
    <w:rsid w:val="002A4FA1"/>
    <w:rsid w:val="002A531B"/>
    <w:rsid w:val="002A61CA"/>
    <w:rsid w:val="002A6996"/>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348"/>
    <w:rsid w:val="002B3603"/>
    <w:rsid w:val="002B3A74"/>
    <w:rsid w:val="002B3AF3"/>
    <w:rsid w:val="002B42D1"/>
    <w:rsid w:val="002B4467"/>
    <w:rsid w:val="002B5273"/>
    <w:rsid w:val="002B53AB"/>
    <w:rsid w:val="002B562F"/>
    <w:rsid w:val="002B5A4C"/>
    <w:rsid w:val="002B702F"/>
    <w:rsid w:val="002B76C1"/>
    <w:rsid w:val="002B7718"/>
    <w:rsid w:val="002C00C4"/>
    <w:rsid w:val="002C049B"/>
    <w:rsid w:val="002C0576"/>
    <w:rsid w:val="002C087B"/>
    <w:rsid w:val="002C0C59"/>
    <w:rsid w:val="002C1518"/>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C2"/>
    <w:rsid w:val="002C57C8"/>
    <w:rsid w:val="002C6D82"/>
    <w:rsid w:val="002C7108"/>
    <w:rsid w:val="002D0115"/>
    <w:rsid w:val="002D0CA9"/>
    <w:rsid w:val="002D0E9D"/>
    <w:rsid w:val="002D13AA"/>
    <w:rsid w:val="002D1CA3"/>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03F5"/>
    <w:rsid w:val="002E10E9"/>
    <w:rsid w:val="002E177C"/>
    <w:rsid w:val="002E19D4"/>
    <w:rsid w:val="002E1A29"/>
    <w:rsid w:val="002E1F67"/>
    <w:rsid w:val="002E222E"/>
    <w:rsid w:val="002E2329"/>
    <w:rsid w:val="002E246C"/>
    <w:rsid w:val="002E2FC7"/>
    <w:rsid w:val="002E31E4"/>
    <w:rsid w:val="002E3C80"/>
    <w:rsid w:val="002E40F6"/>
    <w:rsid w:val="002E45D0"/>
    <w:rsid w:val="002E460A"/>
    <w:rsid w:val="002E467D"/>
    <w:rsid w:val="002E4BF6"/>
    <w:rsid w:val="002E4EFB"/>
    <w:rsid w:val="002E53A7"/>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681"/>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65F6"/>
    <w:rsid w:val="002F6635"/>
    <w:rsid w:val="002F6EA7"/>
    <w:rsid w:val="002F73BF"/>
    <w:rsid w:val="002F73D5"/>
    <w:rsid w:val="00300AFD"/>
    <w:rsid w:val="003014BD"/>
    <w:rsid w:val="0030157D"/>
    <w:rsid w:val="00301EFE"/>
    <w:rsid w:val="00302108"/>
    <w:rsid w:val="003024DE"/>
    <w:rsid w:val="00302791"/>
    <w:rsid w:val="003027A0"/>
    <w:rsid w:val="003028AE"/>
    <w:rsid w:val="003028D4"/>
    <w:rsid w:val="00302D5E"/>
    <w:rsid w:val="00302D61"/>
    <w:rsid w:val="00302F40"/>
    <w:rsid w:val="0030428E"/>
    <w:rsid w:val="003043E6"/>
    <w:rsid w:val="00304A61"/>
    <w:rsid w:val="00304FB6"/>
    <w:rsid w:val="00305D8D"/>
    <w:rsid w:val="0030619A"/>
    <w:rsid w:val="003062CD"/>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29E"/>
    <w:rsid w:val="00313320"/>
    <w:rsid w:val="0031354E"/>
    <w:rsid w:val="00313621"/>
    <w:rsid w:val="00313944"/>
    <w:rsid w:val="00313F5E"/>
    <w:rsid w:val="00314250"/>
    <w:rsid w:val="00314326"/>
    <w:rsid w:val="00314669"/>
    <w:rsid w:val="00314A8D"/>
    <w:rsid w:val="00314F8E"/>
    <w:rsid w:val="00315982"/>
    <w:rsid w:val="00315B98"/>
    <w:rsid w:val="00315C59"/>
    <w:rsid w:val="00315F34"/>
    <w:rsid w:val="00316095"/>
    <w:rsid w:val="00316502"/>
    <w:rsid w:val="00316734"/>
    <w:rsid w:val="0031686F"/>
    <w:rsid w:val="0031750D"/>
    <w:rsid w:val="003177CE"/>
    <w:rsid w:val="003178E0"/>
    <w:rsid w:val="00320553"/>
    <w:rsid w:val="00320794"/>
    <w:rsid w:val="00320915"/>
    <w:rsid w:val="00320AA6"/>
    <w:rsid w:val="00320DB1"/>
    <w:rsid w:val="0032103F"/>
    <w:rsid w:val="0032237A"/>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5D"/>
    <w:rsid w:val="00334C7F"/>
    <w:rsid w:val="003352A6"/>
    <w:rsid w:val="00335577"/>
    <w:rsid w:val="00335968"/>
    <w:rsid w:val="00335F53"/>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191B"/>
    <w:rsid w:val="0035201F"/>
    <w:rsid w:val="0035205C"/>
    <w:rsid w:val="00352144"/>
    <w:rsid w:val="00352625"/>
    <w:rsid w:val="00352995"/>
    <w:rsid w:val="00352FB1"/>
    <w:rsid w:val="00353295"/>
    <w:rsid w:val="003536C4"/>
    <w:rsid w:val="003537BD"/>
    <w:rsid w:val="003539D2"/>
    <w:rsid w:val="0035433F"/>
    <w:rsid w:val="003546E7"/>
    <w:rsid w:val="00354735"/>
    <w:rsid w:val="00354AE7"/>
    <w:rsid w:val="00354BA2"/>
    <w:rsid w:val="00354C6A"/>
    <w:rsid w:val="00354E9E"/>
    <w:rsid w:val="0035540E"/>
    <w:rsid w:val="003555E7"/>
    <w:rsid w:val="00355C59"/>
    <w:rsid w:val="00355E0C"/>
    <w:rsid w:val="00355E87"/>
    <w:rsid w:val="00355FFA"/>
    <w:rsid w:val="00356653"/>
    <w:rsid w:val="00356685"/>
    <w:rsid w:val="003577A1"/>
    <w:rsid w:val="00357935"/>
    <w:rsid w:val="00357A88"/>
    <w:rsid w:val="003600F3"/>
    <w:rsid w:val="003602B7"/>
    <w:rsid w:val="00360453"/>
    <w:rsid w:val="00360B39"/>
    <w:rsid w:val="00360DCB"/>
    <w:rsid w:val="00360E40"/>
    <w:rsid w:val="0036174B"/>
    <w:rsid w:val="00361B1B"/>
    <w:rsid w:val="00361D05"/>
    <w:rsid w:val="00361DFE"/>
    <w:rsid w:val="00362415"/>
    <w:rsid w:val="00362427"/>
    <w:rsid w:val="003624E2"/>
    <w:rsid w:val="0036274B"/>
    <w:rsid w:val="00362895"/>
    <w:rsid w:val="00362B53"/>
    <w:rsid w:val="00362F03"/>
    <w:rsid w:val="00363011"/>
    <w:rsid w:val="00363087"/>
    <w:rsid w:val="0036316A"/>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5FA"/>
    <w:rsid w:val="00395C73"/>
    <w:rsid w:val="00395E11"/>
    <w:rsid w:val="003967EF"/>
    <w:rsid w:val="00396851"/>
    <w:rsid w:val="00396B1F"/>
    <w:rsid w:val="00396FCF"/>
    <w:rsid w:val="00397535"/>
    <w:rsid w:val="00397873"/>
    <w:rsid w:val="00397A45"/>
    <w:rsid w:val="00397FBF"/>
    <w:rsid w:val="00397FFC"/>
    <w:rsid w:val="003A001A"/>
    <w:rsid w:val="003A0325"/>
    <w:rsid w:val="003A0BAA"/>
    <w:rsid w:val="003A0C66"/>
    <w:rsid w:val="003A0E92"/>
    <w:rsid w:val="003A10B2"/>
    <w:rsid w:val="003A166B"/>
    <w:rsid w:val="003A227C"/>
    <w:rsid w:val="003A274F"/>
    <w:rsid w:val="003A2E35"/>
    <w:rsid w:val="003A30D9"/>
    <w:rsid w:val="003A31E0"/>
    <w:rsid w:val="003A321D"/>
    <w:rsid w:val="003A410B"/>
    <w:rsid w:val="003A4970"/>
    <w:rsid w:val="003A4A1D"/>
    <w:rsid w:val="003A52D2"/>
    <w:rsid w:val="003A5589"/>
    <w:rsid w:val="003A5C26"/>
    <w:rsid w:val="003A6613"/>
    <w:rsid w:val="003A6E60"/>
    <w:rsid w:val="003A77FE"/>
    <w:rsid w:val="003A77FF"/>
    <w:rsid w:val="003A7A33"/>
    <w:rsid w:val="003A7E6E"/>
    <w:rsid w:val="003B0222"/>
    <w:rsid w:val="003B038A"/>
    <w:rsid w:val="003B08D6"/>
    <w:rsid w:val="003B0931"/>
    <w:rsid w:val="003B0955"/>
    <w:rsid w:val="003B1019"/>
    <w:rsid w:val="003B178F"/>
    <w:rsid w:val="003B1EF7"/>
    <w:rsid w:val="003B21FC"/>
    <w:rsid w:val="003B2991"/>
    <w:rsid w:val="003B3026"/>
    <w:rsid w:val="003B329B"/>
    <w:rsid w:val="003B36DC"/>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26C1"/>
    <w:rsid w:val="003C3BF6"/>
    <w:rsid w:val="003C3CE3"/>
    <w:rsid w:val="003C4063"/>
    <w:rsid w:val="003C42D2"/>
    <w:rsid w:val="003C43CF"/>
    <w:rsid w:val="003C44D4"/>
    <w:rsid w:val="003C4709"/>
    <w:rsid w:val="003C4E38"/>
    <w:rsid w:val="003C50A2"/>
    <w:rsid w:val="003C552C"/>
    <w:rsid w:val="003C5971"/>
    <w:rsid w:val="003C5CD2"/>
    <w:rsid w:val="003C6855"/>
    <w:rsid w:val="003C6E28"/>
    <w:rsid w:val="003C72D7"/>
    <w:rsid w:val="003C775D"/>
    <w:rsid w:val="003C780E"/>
    <w:rsid w:val="003C788F"/>
    <w:rsid w:val="003C7CA2"/>
    <w:rsid w:val="003C7ED6"/>
    <w:rsid w:val="003D00E9"/>
    <w:rsid w:val="003D081B"/>
    <w:rsid w:val="003D11E4"/>
    <w:rsid w:val="003D13D3"/>
    <w:rsid w:val="003D1CDF"/>
    <w:rsid w:val="003D1D08"/>
    <w:rsid w:val="003D1F3C"/>
    <w:rsid w:val="003D2639"/>
    <w:rsid w:val="003D2739"/>
    <w:rsid w:val="003D27F8"/>
    <w:rsid w:val="003D3D92"/>
    <w:rsid w:val="003D4057"/>
    <w:rsid w:val="003D40E5"/>
    <w:rsid w:val="003D446A"/>
    <w:rsid w:val="003D4490"/>
    <w:rsid w:val="003D49D1"/>
    <w:rsid w:val="003D4E23"/>
    <w:rsid w:val="003D57E9"/>
    <w:rsid w:val="003D6258"/>
    <w:rsid w:val="003D6274"/>
    <w:rsid w:val="003D6634"/>
    <w:rsid w:val="003D68A0"/>
    <w:rsid w:val="003D73B3"/>
    <w:rsid w:val="003D769D"/>
    <w:rsid w:val="003D7A35"/>
    <w:rsid w:val="003D7BEB"/>
    <w:rsid w:val="003D7CEE"/>
    <w:rsid w:val="003D7E06"/>
    <w:rsid w:val="003E044C"/>
    <w:rsid w:val="003E06BA"/>
    <w:rsid w:val="003E075A"/>
    <w:rsid w:val="003E081A"/>
    <w:rsid w:val="003E09DF"/>
    <w:rsid w:val="003E0B68"/>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DF"/>
    <w:rsid w:val="003F0912"/>
    <w:rsid w:val="003F0963"/>
    <w:rsid w:val="003F0E53"/>
    <w:rsid w:val="003F1263"/>
    <w:rsid w:val="003F12A1"/>
    <w:rsid w:val="003F1BE6"/>
    <w:rsid w:val="003F1FD2"/>
    <w:rsid w:val="003F2149"/>
    <w:rsid w:val="003F230E"/>
    <w:rsid w:val="003F2B74"/>
    <w:rsid w:val="003F3323"/>
    <w:rsid w:val="003F3AF7"/>
    <w:rsid w:val="003F48DA"/>
    <w:rsid w:val="003F4A31"/>
    <w:rsid w:val="003F5571"/>
    <w:rsid w:val="003F6202"/>
    <w:rsid w:val="003F67CC"/>
    <w:rsid w:val="003F6C6C"/>
    <w:rsid w:val="003F7359"/>
    <w:rsid w:val="003F799C"/>
    <w:rsid w:val="003F7ACA"/>
    <w:rsid w:val="003F7EA6"/>
    <w:rsid w:val="003F7F23"/>
    <w:rsid w:val="004004D2"/>
    <w:rsid w:val="004008E3"/>
    <w:rsid w:val="00400D2A"/>
    <w:rsid w:val="00401083"/>
    <w:rsid w:val="00401527"/>
    <w:rsid w:val="0040218D"/>
    <w:rsid w:val="004025A2"/>
    <w:rsid w:val="00402774"/>
    <w:rsid w:val="004029F1"/>
    <w:rsid w:val="00402F23"/>
    <w:rsid w:val="00402F55"/>
    <w:rsid w:val="00403332"/>
    <w:rsid w:val="004034E9"/>
    <w:rsid w:val="00403527"/>
    <w:rsid w:val="00403662"/>
    <w:rsid w:val="004045CB"/>
    <w:rsid w:val="004045CD"/>
    <w:rsid w:val="0040492B"/>
    <w:rsid w:val="004049D7"/>
    <w:rsid w:val="00404AEA"/>
    <w:rsid w:val="00404E02"/>
    <w:rsid w:val="00405BED"/>
    <w:rsid w:val="00405D02"/>
    <w:rsid w:val="004062D0"/>
    <w:rsid w:val="0040635D"/>
    <w:rsid w:val="00406C39"/>
    <w:rsid w:val="004075EC"/>
    <w:rsid w:val="0040764B"/>
    <w:rsid w:val="004079AF"/>
    <w:rsid w:val="0041017A"/>
    <w:rsid w:val="0041092C"/>
    <w:rsid w:val="00410E01"/>
    <w:rsid w:val="0041105B"/>
    <w:rsid w:val="0041107B"/>
    <w:rsid w:val="004111E0"/>
    <w:rsid w:val="00411801"/>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D6F"/>
    <w:rsid w:val="00416E29"/>
    <w:rsid w:val="00416F4C"/>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556"/>
    <w:rsid w:val="0042539B"/>
    <w:rsid w:val="004253EB"/>
    <w:rsid w:val="0042557B"/>
    <w:rsid w:val="00425732"/>
    <w:rsid w:val="00425DDB"/>
    <w:rsid w:val="00425E65"/>
    <w:rsid w:val="00426078"/>
    <w:rsid w:val="004261E3"/>
    <w:rsid w:val="004265FB"/>
    <w:rsid w:val="0042682D"/>
    <w:rsid w:val="00426DCE"/>
    <w:rsid w:val="004270E9"/>
    <w:rsid w:val="0042719A"/>
    <w:rsid w:val="0042722F"/>
    <w:rsid w:val="004275E8"/>
    <w:rsid w:val="0042769F"/>
    <w:rsid w:val="004276F1"/>
    <w:rsid w:val="00427F03"/>
    <w:rsid w:val="00430384"/>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1BF"/>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56F"/>
    <w:rsid w:val="00452813"/>
    <w:rsid w:val="00453FDA"/>
    <w:rsid w:val="0045421B"/>
    <w:rsid w:val="004544AB"/>
    <w:rsid w:val="004548BD"/>
    <w:rsid w:val="004549EA"/>
    <w:rsid w:val="00454E98"/>
    <w:rsid w:val="00454FC9"/>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CCB"/>
    <w:rsid w:val="00465DCA"/>
    <w:rsid w:val="00466129"/>
    <w:rsid w:val="004661AD"/>
    <w:rsid w:val="00466231"/>
    <w:rsid w:val="00466316"/>
    <w:rsid w:val="0046632A"/>
    <w:rsid w:val="0046647B"/>
    <w:rsid w:val="00466724"/>
    <w:rsid w:val="004667E8"/>
    <w:rsid w:val="00467191"/>
    <w:rsid w:val="00467412"/>
    <w:rsid w:val="00467C77"/>
    <w:rsid w:val="00467D51"/>
    <w:rsid w:val="00470140"/>
    <w:rsid w:val="00470A3A"/>
    <w:rsid w:val="00470F43"/>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71E3"/>
    <w:rsid w:val="004775FD"/>
    <w:rsid w:val="00477A96"/>
    <w:rsid w:val="00480664"/>
    <w:rsid w:val="004809FD"/>
    <w:rsid w:val="00481C4D"/>
    <w:rsid w:val="00481C88"/>
    <w:rsid w:val="00481D7B"/>
    <w:rsid w:val="0048265B"/>
    <w:rsid w:val="00482E6B"/>
    <w:rsid w:val="00483389"/>
    <w:rsid w:val="00483524"/>
    <w:rsid w:val="004837DA"/>
    <w:rsid w:val="00483A4F"/>
    <w:rsid w:val="00483D56"/>
    <w:rsid w:val="00483F59"/>
    <w:rsid w:val="0048462D"/>
    <w:rsid w:val="004848B7"/>
    <w:rsid w:val="00484BFC"/>
    <w:rsid w:val="00484CAB"/>
    <w:rsid w:val="00485462"/>
    <w:rsid w:val="00485D99"/>
    <w:rsid w:val="0048614B"/>
    <w:rsid w:val="004862A7"/>
    <w:rsid w:val="0048668C"/>
    <w:rsid w:val="004866E1"/>
    <w:rsid w:val="00486711"/>
    <w:rsid w:val="00486734"/>
    <w:rsid w:val="00486CA2"/>
    <w:rsid w:val="00486ED6"/>
    <w:rsid w:val="0048754B"/>
    <w:rsid w:val="00487A5F"/>
    <w:rsid w:val="00487DE3"/>
    <w:rsid w:val="00490082"/>
    <w:rsid w:val="004902B1"/>
    <w:rsid w:val="004904DE"/>
    <w:rsid w:val="00490A8A"/>
    <w:rsid w:val="00490F0C"/>
    <w:rsid w:val="00491280"/>
    <w:rsid w:val="00491689"/>
    <w:rsid w:val="00491851"/>
    <w:rsid w:val="00491881"/>
    <w:rsid w:val="00491A1E"/>
    <w:rsid w:val="00491C0F"/>
    <w:rsid w:val="00491E9E"/>
    <w:rsid w:val="0049233C"/>
    <w:rsid w:val="004924CB"/>
    <w:rsid w:val="00492A7D"/>
    <w:rsid w:val="00492C99"/>
    <w:rsid w:val="00492FC7"/>
    <w:rsid w:val="00493AE1"/>
    <w:rsid w:val="004941EF"/>
    <w:rsid w:val="004944F2"/>
    <w:rsid w:val="004945FD"/>
    <w:rsid w:val="00494C6A"/>
    <w:rsid w:val="0049527E"/>
    <w:rsid w:val="0049555D"/>
    <w:rsid w:val="00495FBE"/>
    <w:rsid w:val="00496486"/>
    <w:rsid w:val="00496906"/>
    <w:rsid w:val="00496DD2"/>
    <w:rsid w:val="00497007"/>
    <w:rsid w:val="00497B24"/>
    <w:rsid w:val="00497F56"/>
    <w:rsid w:val="00497FFA"/>
    <w:rsid w:val="004A022F"/>
    <w:rsid w:val="004A03F0"/>
    <w:rsid w:val="004A111F"/>
    <w:rsid w:val="004A1360"/>
    <w:rsid w:val="004A144E"/>
    <w:rsid w:val="004A14AA"/>
    <w:rsid w:val="004A2E50"/>
    <w:rsid w:val="004A3240"/>
    <w:rsid w:val="004A4044"/>
    <w:rsid w:val="004A4743"/>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B8"/>
    <w:rsid w:val="004B7FD8"/>
    <w:rsid w:val="004C03E0"/>
    <w:rsid w:val="004C0955"/>
    <w:rsid w:val="004C0AD4"/>
    <w:rsid w:val="004C0D21"/>
    <w:rsid w:val="004C10C8"/>
    <w:rsid w:val="004C12ED"/>
    <w:rsid w:val="004C15C6"/>
    <w:rsid w:val="004C1754"/>
    <w:rsid w:val="004C2051"/>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EF8"/>
    <w:rsid w:val="004C736F"/>
    <w:rsid w:val="004C74E0"/>
    <w:rsid w:val="004C74E6"/>
    <w:rsid w:val="004D0E12"/>
    <w:rsid w:val="004D13A2"/>
    <w:rsid w:val="004D18DE"/>
    <w:rsid w:val="004D2061"/>
    <w:rsid w:val="004D2758"/>
    <w:rsid w:val="004D29C4"/>
    <w:rsid w:val="004D2B8B"/>
    <w:rsid w:val="004D2F35"/>
    <w:rsid w:val="004D30DE"/>
    <w:rsid w:val="004D31FE"/>
    <w:rsid w:val="004D3366"/>
    <w:rsid w:val="004D35B1"/>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2F9"/>
    <w:rsid w:val="004D7841"/>
    <w:rsid w:val="004D7ACC"/>
    <w:rsid w:val="004E00F7"/>
    <w:rsid w:val="004E07A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0B4"/>
    <w:rsid w:val="004E5433"/>
    <w:rsid w:val="004E543C"/>
    <w:rsid w:val="004E54BB"/>
    <w:rsid w:val="004E54E4"/>
    <w:rsid w:val="004E58C2"/>
    <w:rsid w:val="004E5DD6"/>
    <w:rsid w:val="004E60AB"/>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426"/>
    <w:rsid w:val="004F2AA7"/>
    <w:rsid w:val="004F3CB3"/>
    <w:rsid w:val="004F3FF4"/>
    <w:rsid w:val="004F4637"/>
    <w:rsid w:val="004F49A4"/>
    <w:rsid w:val="004F4AB3"/>
    <w:rsid w:val="004F656F"/>
    <w:rsid w:val="004F6F8D"/>
    <w:rsid w:val="004F7312"/>
    <w:rsid w:val="004F7454"/>
    <w:rsid w:val="004F783F"/>
    <w:rsid w:val="005002E0"/>
    <w:rsid w:val="005004D9"/>
    <w:rsid w:val="005004E7"/>
    <w:rsid w:val="00500E4C"/>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2B"/>
    <w:rsid w:val="00511FD7"/>
    <w:rsid w:val="00512A3D"/>
    <w:rsid w:val="00512C3B"/>
    <w:rsid w:val="005131A4"/>
    <w:rsid w:val="005133F8"/>
    <w:rsid w:val="00513750"/>
    <w:rsid w:val="00514031"/>
    <w:rsid w:val="0051455C"/>
    <w:rsid w:val="00514D5E"/>
    <w:rsid w:val="00514F44"/>
    <w:rsid w:val="00515614"/>
    <w:rsid w:val="00515EDB"/>
    <w:rsid w:val="00516103"/>
    <w:rsid w:val="005162BC"/>
    <w:rsid w:val="00516FBB"/>
    <w:rsid w:val="005173CB"/>
    <w:rsid w:val="00517BC5"/>
    <w:rsid w:val="0052097A"/>
    <w:rsid w:val="00521363"/>
    <w:rsid w:val="00521AEA"/>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BB5"/>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38BA"/>
    <w:rsid w:val="00533EEC"/>
    <w:rsid w:val="005349EB"/>
    <w:rsid w:val="00535762"/>
    <w:rsid w:val="00536176"/>
    <w:rsid w:val="005362D0"/>
    <w:rsid w:val="00536C1F"/>
    <w:rsid w:val="00537AD9"/>
    <w:rsid w:val="00537DBA"/>
    <w:rsid w:val="0054001E"/>
    <w:rsid w:val="005401F9"/>
    <w:rsid w:val="005402F6"/>
    <w:rsid w:val="00540759"/>
    <w:rsid w:val="00541103"/>
    <w:rsid w:val="0054173C"/>
    <w:rsid w:val="00542013"/>
    <w:rsid w:val="00542091"/>
    <w:rsid w:val="00542A4E"/>
    <w:rsid w:val="00542FFC"/>
    <w:rsid w:val="005437B9"/>
    <w:rsid w:val="00543C3A"/>
    <w:rsid w:val="005441B0"/>
    <w:rsid w:val="00544322"/>
    <w:rsid w:val="0054435C"/>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C4E"/>
    <w:rsid w:val="00551037"/>
    <w:rsid w:val="005516B7"/>
    <w:rsid w:val="0055210B"/>
    <w:rsid w:val="005522A2"/>
    <w:rsid w:val="0055255B"/>
    <w:rsid w:val="005526C7"/>
    <w:rsid w:val="00552A44"/>
    <w:rsid w:val="00552E4C"/>
    <w:rsid w:val="00553094"/>
    <w:rsid w:val="005531D1"/>
    <w:rsid w:val="00553497"/>
    <w:rsid w:val="005534B3"/>
    <w:rsid w:val="00553765"/>
    <w:rsid w:val="00553FF2"/>
    <w:rsid w:val="005550EB"/>
    <w:rsid w:val="005554BD"/>
    <w:rsid w:val="005559D5"/>
    <w:rsid w:val="00555BAE"/>
    <w:rsid w:val="00555CC4"/>
    <w:rsid w:val="00555F21"/>
    <w:rsid w:val="0055604D"/>
    <w:rsid w:val="0055766F"/>
    <w:rsid w:val="00557C26"/>
    <w:rsid w:val="00560268"/>
    <w:rsid w:val="005603C6"/>
    <w:rsid w:val="0056043F"/>
    <w:rsid w:val="00560AF3"/>
    <w:rsid w:val="005613A0"/>
    <w:rsid w:val="00561737"/>
    <w:rsid w:val="00561C7E"/>
    <w:rsid w:val="00562969"/>
    <w:rsid w:val="00563135"/>
    <w:rsid w:val="00564352"/>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CD7"/>
    <w:rsid w:val="00576299"/>
    <w:rsid w:val="005766F7"/>
    <w:rsid w:val="00576878"/>
    <w:rsid w:val="00576DF1"/>
    <w:rsid w:val="0057797B"/>
    <w:rsid w:val="00577A67"/>
    <w:rsid w:val="00577BA6"/>
    <w:rsid w:val="00580A09"/>
    <w:rsid w:val="00580ECD"/>
    <w:rsid w:val="005816B9"/>
    <w:rsid w:val="00581AB6"/>
    <w:rsid w:val="00581E96"/>
    <w:rsid w:val="00581FB3"/>
    <w:rsid w:val="00582563"/>
    <w:rsid w:val="00582BF3"/>
    <w:rsid w:val="00582F40"/>
    <w:rsid w:val="005836CA"/>
    <w:rsid w:val="005839B5"/>
    <w:rsid w:val="00583C9B"/>
    <w:rsid w:val="00583D84"/>
    <w:rsid w:val="00584690"/>
    <w:rsid w:val="005848B3"/>
    <w:rsid w:val="00584B7A"/>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43E"/>
    <w:rsid w:val="00594A88"/>
    <w:rsid w:val="00594B7B"/>
    <w:rsid w:val="00594BCD"/>
    <w:rsid w:val="00594BEF"/>
    <w:rsid w:val="00595240"/>
    <w:rsid w:val="0059532D"/>
    <w:rsid w:val="005959C6"/>
    <w:rsid w:val="00595E45"/>
    <w:rsid w:val="0059640C"/>
    <w:rsid w:val="00596B35"/>
    <w:rsid w:val="00596C30"/>
    <w:rsid w:val="00597285"/>
    <w:rsid w:val="00597347"/>
    <w:rsid w:val="00597A9B"/>
    <w:rsid w:val="00597AAF"/>
    <w:rsid w:val="00597E4D"/>
    <w:rsid w:val="005A01F2"/>
    <w:rsid w:val="005A048E"/>
    <w:rsid w:val="005A0691"/>
    <w:rsid w:val="005A0807"/>
    <w:rsid w:val="005A0D10"/>
    <w:rsid w:val="005A0E5D"/>
    <w:rsid w:val="005A0E7B"/>
    <w:rsid w:val="005A10F2"/>
    <w:rsid w:val="005A1165"/>
    <w:rsid w:val="005A14E2"/>
    <w:rsid w:val="005A15F1"/>
    <w:rsid w:val="005A1699"/>
    <w:rsid w:val="005A1786"/>
    <w:rsid w:val="005A1884"/>
    <w:rsid w:val="005A1AE7"/>
    <w:rsid w:val="005A1DFD"/>
    <w:rsid w:val="005A2983"/>
    <w:rsid w:val="005A29FB"/>
    <w:rsid w:val="005A2A96"/>
    <w:rsid w:val="005A2D73"/>
    <w:rsid w:val="005A363D"/>
    <w:rsid w:val="005A40AA"/>
    <w:rsid w:val="005A4664"/>
    <w:rsid w:val="005A4C4E"/>
    <w:rsid w:val="005A5040"/>
    <w:rsid w:val="005A513D"/>
    <w:rsid w:val="005A5204"/>
    <w:rsid w:val="005A57BC"/>
    <w:rsid w:val="005A5BA5"/>
    <w:rsid w:val="005A5E63"/>
    <w:rsid w:val="005A5FD4"/>
    <w:rsid w:val="005A7292"/>
    <w:rsid w:val="005A7478"/>
    <w:rsid w:val="005A790B"/>
    <w:rsid w:val="005A7D5B"/>
    <w:rsid w:val="005B07F5"/>
    <w:rsid w:val="005B0C7B"/>
    <w:rsid w:val="005B0D26"/>
    <w:rsid w:val="005B1306"/>
    <w:rsid w:val="005B15E6"/>
    <w:rsid w:val="005B17A8"/>
    <w:rsid w:val="005B1AFA"/>
    <w:rsid w:val="005B1CC5"/>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4E11"/>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55"/>
    <w:rsid w:val="005C30E9"/>
    <w:rsid w:val="005C372E"/>
    <w:rsid w:val="005C3B8C"/>
    <w:rsid w:val="005C3E34"/>
    <w:rsid w:val="005C4259"/>
    <w:rsid w:val="005C43BB"/>
    <w:rsid w:val="005C4E06"/>
    <w:rsid w:val="005C533A"/>
    <w:rsid w:val="005C539D"/>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E98"/>
    <w:rsid w:val="005D5F0B"/>
    <w:rsid w:val="005D6BE2"/>
    <w:rsid w:val="005D6D1C"/>
    <w:rsid w:val="005D6DDA"/>
    <w:rsid w:val="005D72A7"/>
    <w:rsid w:val="005E03E1"/>
    <w:rsid w:val="005E05E5"/>
    <w:rsid w:val="005E065C"/>
    <w:rsid w:val="005E0A23"/>
    <w:rsid w:val="005E0C53"/>
    <w:rsid w:val="005E118B"/>
    <w:rsid w:val="005E1721"/>
    <w:rsid w:val="005E1FD9"/>
    <w:rsid w:val="005E2060"/>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73F"/>
    <w:rsid w:val="005F7850"/>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029"/>
    <w:rsid w:val="00614115"/>
    <w:rsid w:val="0061414B"/>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0B"/>
    <w:rsid w:val="00641036"/>
    <w:rsid w:val="006410D4"/>
    <w:rsid w:val="00641101"/>
    <w:rsid w:val="00641359"/>
    <w:rsid w:val="00641365"/>
    <w:rsid w:val="00641370"/>
    <w:rsid w:val="0064157F"/>
    <w:rsid w:val="006417E1"/>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DB3"/>
    <w:rsid w:val="0065621A"/>
    <w:rsid w:val="00656229"/>
    <w:rsid w:val="0065639B"/>
    <w:rsid w:val="00656AFC"/>
    <w:rsid w:val="0065780D"/>
    <w:rsid w:val="00657EA9"/>
    <w:rsid w:val="0066003A"/>
    <w:rsid w:val="00660235"/>
    <w:rsid w:val="00660638"/>
    <w:rsid w:val="0066085A"/>
    <w:rsid w:val="00660984"/>
    <w:rsid w:val="00660B6E"/>
    <w:rsid w:val="00660BA0"/>
    <w:rsid w:val="00660F9F"/>
    <w:rsid w:val="006610DD"/>
    <w:rsid w:val="006610FD"/>
    <w:rsid w:val="00661116"/>
    <w:rsid w:val="00661382"/>
    <w:rsid w:val="00661435"/>
    <w:rsid w:val="00661757"/>
    <w:rsid w:val="00661E41"/>
    <w:rsid w:val="00661E8B"/>
    <w:rsid w:val="006621DB"/>
    <w:rsid w:val="006624FE"/>
    <w:rsid w:val="006626D8"/>
    <w:rsid w:val="00662956"/>
    <w:rsid w:val="00662DB1"/>
    <w:rsid w:val="00663060"/>
    <w:rsid w:val="00663D11"/>
    <w:rsid w:val="00663F4C"/>
    <w:rsid w:val="006640D6"/>
    <w:rsid w:val="00664290"/>
    <w:rsid w:val="0066433F"/>
    <w:rsid w:val="00664493"/>
    <w:rsid w:val="00664568"/>
    <w:rsid w:val="00664ECC"/>
    <w:rsid w:val="00664FA3"/>
    <w:rsid w:val="0066599E"/>
    <w:rsid w:val="00665EF8"/>
    <w:rsid w:val="006669DD"/>
    <w:rsid w:val="00666AA0"/>
    <w:rsid w:val="00666D62"/>
    <w:rsid w:val="0066711A"/>
    <w:rsid w:val="00667241"/>
    <w:rsid w:val="0066737A"/>
    <w:rsid w:val="006674F2"/>
    <w:rsid w:val="00667ABD"/>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4286"/>
    <w:rsid w:val="006742E0"/>
    <w:rsid w:val="00674B02"/>
    <w:rsid w:val="00675650"/>
    <w:rsid w:val="00675E41"/>
    <w:rsid w:val="00676562"/>
    <w:rsid w:val="006772B9"/>
    <w:rsid w:val="00677552"/>
    <w:rsid w:val="00677918"/>
    <w:rsid w:val="00677A00"/>
    <w:rsid w:val="00677A92"/>
    <w:rsid w:val="00677BBD"/>
    <w:rsid w:val="006804B6"/>
    <w:rsid w:val="006806E1"/>
    <w:rsid w:val="00680ECE"/>
    <w:rsid w:val="00681022"/>
    <w:rsid w:val="00681418"/>
    <w:rsid w:val="00681787"/>
    <w:rsid w:val="00681833"/>
    <w:rsid w:val="00681EFF"/>
    <w:rsid w:val="00681FDC"/>
    <w:rsid w:val="00682379"/>
    <w:rsid w:val="006823CB"/>
    <w:rsid w:val="0068277C"/>
    <w:rsid w:val="00682A8F"/>
    <w:rsid w:val="0068315B"/>
    <w:rsid w:val="00683AFE"/>
    <w:rsid w:val="0068459B"/>
    <w:rsid w:val="006846F4"/>
    <w:rsid w:val="00684AA6"/>
    <w:rsid w:val="006850F6"/>
    <w:rsid w:val="00685230"/>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EA4"/>
    <w:rsid w:val="00692815"/>
    <w:rsid w:val="006928E4"/>
    <w:rsid w:val="00692B34"/>
    <w:rsid w:val="00692B55"/>
    <w:rsid w:val="006938EE"/>
    <w:rsid w:val="006940F9"/>
    <w:rsid w:val="006944AF"/>
    <w:rsid w:val="006946EC"/>
    <w:rsid w:val="00694A4D"/>
    <w:rsid w:val="006950D7"/>
    <w:rsid w:val="00695517"/>
    <w:rsid w:val="00695BA6"/>
    <w:rsid w:val="006962D6"/>
    <w:rsid w:val="00696B8E"/>
    <w:rsid w:val="00696EE3"/>
    <w:rsid w:val="00696F13"/>
    <w:rsid w:val="0069714C"/>
    <w:rsid w:val="00697301"/>
    <w:rsid w:val="0069767A"/>
    <w:rsid w:val="00697817"/>
    <w:rsid w:val="00697CAD"/>
    <w:rsid w:val="006A0136"/>
    <w:rsid w:val="006A01B6"/>
    <w:rsid w:val="006A0759"/>
    <w:rsid w:val="006A0A5D"/>
    <w:rsid w:val="006A0F57"/>
    <w:rsid w:val="006A1094"/>
    <w:rsid w:val="006A1467"/>
    <w:rsid w:val="006A14DF"/>
    <w:rsid w:val="006A171E"/>
    <w:rsid w:val="006A1DE2"/>
    <w:rsid w:val="006A1E39"/>
    <w:rsid w:val="006A2A71"/>
    <w:rsid w:val="006A3080"/>
    <w:rsid w:val="006A3210"/>
    <w:rsid w:val="006A3495"/>
    <w:rsid w:val="006A35F0"/>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57D2"/>
    <w:rsid w:val="006B61AF"/>
    <w:rsid w:val="006B6CBA"/>
    <w:rsid w:val="006B7387"/>
    <w:rsid w:val="006B787F"/>
    <w:rsid w:val="006B7D96"/>
    <w:rsid w:val="006C008E"/>
    <w:rsid w:val="006C00A1"/>
    <w:rsid w:val="006C0831"/>
    <w:rsid w:val="006C09AD"/>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E64"/>
    <w:rsid w:val="006C734B"/>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8B4"/>
    <w:rsid w:val="006D2A64"/>
    <w:rsid w:val="006D2C7B"/>
    <w:rsid w:val="006D2DA6"/>
    <w:rsid w:val="006D2EFC"/>
    <w:rsid w:val="006D30F1"/>
    <w:rsid w:val="006D3858"/>
    <w:rsid w:val="006D39AC"/>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D748A"/>
    <w:rsid w:val="006E01D7"/>
    <w:rsid w:val="006E0582"/>
    <w:rsid w:val="006E0803"/>
    <w:rsid w:val="006E0881"/>
    <w:rsid w:val="006E0EF8"/>
    <w:rsid w:val="006E1061"/>
    <w:rsid w:val="006E11ED"/>
    <w:rsid w:val="006E16EB"/>
    <w:rsid w:val="006E26BF"/>
    <w:rsid w:val="006E26E2"/>
    <w:rsid w:val="006E27DC"/>
    <w:rsid w:val="006E366C"/>
    <w:rsid w:val="006E3DFB"/>
    <w:rsid w:val="006E3E37"/>
    <w:rsid w:val="006E3E6D"/>
    <w:rsid w:val="006E3EA5"/>
    <w:rsid w:val="006E3F65"/>
    <w:rsid w:val="006E4416"/>
    <w:rsid w:val="006E44C5"/>
    <w:rsid w:val="006E47C6"/>
    <w:rsid w:val="006E4AF8"/>
    <w:rsid w:val="006E4EA4"/>
    <w:rsid w:val="006E51B5"/>
    <w:rsid w:val="006E5376"/>
    <w:rsid w:val="006E589B"/>
    <w:rsid w:val="006E60F1"/>
    <w:rsid w:val="006E645E"/>
    <w:rsid w:val="006E647C"/>
    <w:rsid w:val="006E6999"/>
    <w:rsid w:val="006E6B05"/>
    <w:rsid w:val="006E6F61"/>
    <w:rsid w:val="006E6F8E"/>
    <w:rsid w:val="006E771F"/>
    <w:rsid w:val="006E7814"/>
    <w:rsid w:val="006E79B7"/>
    <w:rsid w:val="006E7D41"/>
    <w:rsid w:val="006F0492"/>
    <w:rsid w:val="006F07FC"/>
    <w:rsid w:val="006F096B"/>
    <w:rsid w:val="006F1884"/>
    <w:rsid w:val="006F1984"/>
    <w:rsid w:val="006F1A0E"/>
    <w:rsid w:val="006F1E80"/>
    <w:rsid w:val="006F2468"/>
    <w:rsid w:val="006F2D41"/>
    <w:rsid w:val="006F2DAB"/>
    <w:rsid w:val="006F2DFA"/>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0CE7"/>
    <w:rsid w:val="007017AC"/>
    <w:rsid w:val="00701C42"/>
    <w:rsid w:val="0070259B"/>
    <w:rsid w:val="00702F5B"/>
    <w:rsid w:val="00703018"/>
    <w:rsid w:val="00703321"/>
    <w:rsid w:val="007035BD"/>
    <w:rsid w:val="0070385C"/>
    <w:rsid w:val="00703AA2"/>
    <w:rsid w:val="00704DB9"/>
    <w:rsid w:val="00704DE4"/>
    <w:rsid w:val="007050B0"/>
    <w:rsid w:val="00705429"/>
    <w:rsid w:val="007058B7"/>
    <w:rsid w:val="0070643D"/>
    <w:rsid w:val="007067BB"/>
    <w:rsid w:val="00706ADC"/>
    <w:rsid w:val="00707D37"/>
    <w:rsid w:val="00710296"/>
    <w:rsid w:val="00710E4A"/>
    <w:rsid w:val="00710FEC"/>
    <w:rsid w:val="0071175A"/>
    <w:rsid w:val="00711D71"/>
    <w:rsid w:val="0071227E"/>
    <w:rsid w:val="007122A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1BA6"/>
    <w:rsid w:val="00722048"/>
    <w:rsid w:val="007221A2"/>
    <w:rsid w:val="0072244E"/>
    <w:rsid w:val="00722855"/>
    <w:rsid w:val="00722F51"/>
    <w:rsid w:val="0072314F"/>
    <w:rsid w:val="0072349A"/>
    <w:rsid w:val="007239F5"/>
    <w:rsid w:val="00723A6F"/>
    <w:rsid w:val="00723C1D"/>
    <w:rsid w:val="00724B02"/>
    <w:rsid w:val="00724F21"/>
    <w:rsid w:val="0072512D"/>
    <w:rsid w:val="00725CF6"/>
    <w:rsid w:val="00726A40"/>
    <w:rsid w:val="00726DAF"/>
    <w:rsid w:val="00726F88"/>
    <w:rsid w:val="007277EE"/>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6EB"/>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2E24"/>
    <w:rsid w:val="00743288"/>
    <w:rsid w:val="007434DA"/>
    <w:rsid w:val="00743556"/>
    <w:rsid w:val="00743627"/>
    <w:rsid w:val="00743D03"/>
    <w:rsid w:val="00743E93"/>
    <w:rsid w:val="00744063"/>
    <w:rsid w:val="0074406F"/>
    <w:rsid w:val="00744E3C"/>
    <w:rsid w:val="00745838"/>
    <w:rsid w:val="007459D5"/>
    <w:rsid w:val="00745EE5"/>
    <w:rsid w:val="0074638A"/>
    <w:rsid w:val="007477CA"/>
    <w:rsid w:val="00747BB2"/>
    <w:rsid w:val="00750021"/>
    <w:rsid w:val="007508DE"/>
    <w:rsid w:val="007509AB"/>
    <w:rsid w:val="007510A7"/>
    <w:rsid w:val="00751216"/>
    <w:rsid w:val="0075180C"/>
    <w:rsid w:val="00751A20"/>
    <w:rsid w:val="00751B1B"/>
    <w:rsid w:val="00751FA1"/>
    <w:rsid w:val="00752128"/>
    <w:rsid w:val="0075224B"/>
    <w:rsid w:val="00752821"/>
    <w:rsid w:val="00752B0F"/>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43E"/>
    <w:rsid w:val="0075772C"/>
    <w:rsid w:val="00757892"/>
    <w:rsid w:val="00760100"/>
    <w:rsid w:val="007604BE"/>
    <w:rsid w:val="007606C6"/>
    <w:rsid w:val="00760C96"/>
    <w:rsid w:val="00760E1B"/>
    <w:rsid w:val="00760F8E"/>
    <w:rsid w:val="0076137F"/>
    <w:rsid w:val="00761C44"/>
    <w:rsid w:val="00762773"/>
    <w:rsid w:val="007629B7"/>
    <w:rsid w:val="007629F7"/>
    <w:rsid w:val="00762A44"/>
    <w:rsid w:val="00762A9E"/>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133"/>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55"/>
    <w:rsid w:val="00784ABF"/>
    <w:rsid w:val="00785444"/>
    <w:rsid w:val="00785E42"/>
    <w:rsid w:val="00786981"/>
    <w:rsid w:val="00786A41"/>
    <w:rsid w:val="00786D61"/>
    <w:rsid w:val="00786FC8"/>
    <w:rsid w:val="00787241"/>
    <w:rsid w:val="00787760"/>
    <w:rsid w:val="007877A6"/>
    <w:rsid w:val="00787D2D"/>
    <w:rsid w:val="007902D4"/>
    <w:rsid w:val="0079090C"/>
    <w:rsid w:val="007909C8"/>
    <w:rsid w:val="00790D48"/>
    <w:rsid w:val="0079127F"/>
    <w:rsid w:val="00791CD9"/>
    <w:rsid w:val="00792190"/>
    <w:rsid w:val="007925A9"/>
    <w:rsid w:val="007925EE"/>
    <w:rsid w:val="00792AC0"/>
    <w:rsid w:val="00792BB5"/>
    <w:rsid w:val="00793410"/>
    <w:rsid w:val="007936F1"/>
    <w:rsid w:val="0079382D"/>
    <w:rsid w:val="00793C13"/>
    <w:rsid w:val="007942B9"/>
    <w:rsid w:val="007951FF"/>
    <w:rsid w:val="00795315"/>
    <w:rsid w:val="007961A4"/>
    <w:rsid w:val="00796722"/>
    <w:rsid w:val="00796918"/>
    <w:rsid w:val="007969C5"/>
    <w:rsid w:val="00796B79"/>
    <w:rsid w:val="00796B7F"/>
    <w:rsid w:val="00796CAA"/>
    <w:rsid w:val="00796DBB"/>
    <w:rsid w:val="00797660"/>
    <w:rsid w:val="00797991"/>
    <w:rsid w:val="00797DE3"/>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A43"/>
    <w:rsid w:val="007A3000"/>
    <w:rsid w:val="007A30A8"/>
    <w:rsid w:val="007A37B1"/>
    <w:rsid w:val="007A3AAA"/>
    <w:rsid w:val="007A3F47"/>
    <w:rsid w:val="007A3F4B"/>
    <w:rsid w:val="007A4296"/>
    <w:rsid w:val="007A4A38"/>
    <w:rsid w:val="007A4B86"/>
    <w:rsid w:val="007A5868"/>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3CEC"/>
    <w:rsid w:val="007B3D92"/>
    <w:rsid w:val="007B3E31"/>
    <w:rsid w:val="007B470B"/>
    <w:rsid w:val="007B4762"/>
    <w:rsid w:val="007B50E7"/>
    <w:rsid w:val="007B51B5"/>
    <w:rsid w:val="007B5865"/>
    <w:rsid w:val="007B5B45"/>
    <w:rsid w:val="007B5CBF"/>
    <w:rsid w:val="007B60BC"/>
    <w:rsid w:val="007B64D5"/>
    <w:rsid w:val="007B6725"/>
    <w:rsid w:val="007B6780"/>
    <w:rsid w:val="007B693A"/>
    <w:rsid w:val="007B7031"/>
    <w:rsid w:val="007B7085"/>
    <w:rsid w:val="007B745D"/>
    <w:rsid w:val="007B74DD"/>
    <w:rsid w:val="007B75D0"/>
    <w:rsid w:val="007B799A"/>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5C"/>
    <w:rsid w:val="007C577B"/>
    <w:rsid w:val="007C5ACB"/>
    <w:rsid w:val="007C5CAC"/>
    <w:rsid w:val="007C5DBE"/>
    <w:rsid w:val="007C6085"/>
    <w:rsid w:val="007C62C0"/>
    <w:rsid w:val="007C633E"/>
    <w:rsid w:val="007C63CB"/>
    <w:rsid w:val="007C680D"/>
    <w:rsid w:val="007C6EFB"/>
    <w:rsid w:val="007C7CB9"/>
    <w:rsid w:val="007D04C9"/>
    <w:rsid w:val="007D0749"/>
    <w:rsid w:val="007D0B47"/>
    <w:rsid w:val="007D1847"/>
    <w:rsid w:val="007D2004"/>
    <w:rsid w:val="007D228B"/>
    <w:rsid w:val="007D2467"/>
    <w:rsid w:val="007D2670"/>
    <w:rsid w:val="007D29AA"/>
    <w:rsid w:val="007D32C2"/>
    <w:rsid w:val="007D379D"/>
    <w:rsid w:val="007D5153"/>
    <w:rsid w:val="007D5E44"/>
    <w:rsid w:val="007D629D"/>
    <w:rsid w:val="007D6651"/>
    <w:rsid w:val="007D69F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F19"/>
    <w:rsid w:val="007E3070"/>
    <w:rsid w:val="007E31D0"/>
    <w:rsid w:val="007E42D6"/>
    <w:rsid w:val="007E460F"/>
    <w:rsid w:val="007E4614"/>
    <w:rsid w:val="007E4A40"/>
    <w:rsid w:val="007E4CAD"/>
    <w:rsid w:val="007E50E7"/>
    <w:rsid w:val="007E5311"/>
    <w:rsid w:val="007E55B2"/>
    <w:rsid w:val="007E5DF9"/>
    <w:rsid w:val="007E707F"/>
    <w:rsid w:val="007E7342"/>
    <w:rsid w:val="007E735A"/>
    <w:rsid w:val="007E74B3"/>
    <w:rsid w:val="007E74F1"/>
    <w:rsid w:val="007E791F"/>
    <w:rsid w:val="007E79BA"/>
    <w:rsid w:val="007E7B40"/>
    <w:rsid w:val="007E7B47"/>
    <w:rsid w:val="007E7DE6"/>
    <w:rsid w:val="007E7DF7"/>
    <w:rsid w:val="007F00B1"/>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7A1"/>
    <w:rsid w:val="00804823"/>
    <w:rsid w:val="00804B67"/>
    <w:rsid w:val="00804C80"/>
    <w:rsid w:val="00804EC5"/>
    <w:rsid w:val="008050D7"/>
    <w:rsid w:val="00805106"/>
    <w:rsid w:val="008054CA"/>
    <w:rsid w:val="00805521"/>
    <w:rsid w:val="00805685"/>
    <w:rsid w:val="00805A30"/>
    <w:rsid w:val="00805F02"/>
    <w:rsid w:val="008061B2"/>
    <w:rsid w:val="00806770"/>
    <w:rsid w:val="00806B5B"/>
    <w:rsid w:val="00807F57"/>
    <w:rsid w:val="00810177"/>
    <w:rsid w:val="00810931"/>
    <w:rsid w:val="00810A7D"/>
    <w:rsid w:val="008110DF"/>
    <w:rsid w:val="0081130A"/>
    <w:rsid w:val="00811424"/>
    <w:rsid w:val="008118A8"/>
    <w:rsid w:val="008119B1"/>
    <w:rsid w:val="00811F1E"/>
    <w:rsid w:val="008124D0"/>
    <w:rsid w:val="0081275A"/>
    <w:rsid w:val="00812AB2"/>
    <w:rsid w:val="00812B07"/>
    <w:rsid w:val="00812E92"/>
    <w:rsid w:val="00812EB8"/>
    <w:rsid w:val="008130A7"/>
    <w:rsid w:val="0081323D"/>
    <w:rsid w:val="008132BC"/>
    <w:rsid w:val="00813496"/>
    <w:rsid w:val="00813731"/>
    <w:rsid w:val="008137DB"/>
    <w:rsid w:val="00813D08"/>
    <w:rsid w:val="00814516"/>
    <w:rsid w:val="008148B8"/>
    <w:rsid w:val="00814B10"/>
    <w:rsid w:val="00814CA6"/>
    <w:rsid w:val="00814F00"/>
    <w:rsid w:val="00815088"/>
    <w:rsid w:val="008153BE"/>
    <w:rsid w:val="008153F4"/>
    <w:rsid w:val="008165E4"/>
    <w:rsid w:val="00816B7D"/>
    <w:rsid w:val="00816C98"/>
    <w:rsid w:val="00816D02"/>
    <w:rsid w:val="00816EC3"/>
    <w:rsid w:val="00817588"/>
    <w:rsid w:val="008176D8"/>
    <w:rsid w:val="00817BF6"/>
    <w:rsid w:val="00817C92"/>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02C"/>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25E"/>
    <w:rsid w:val="00832720"/>
    <w:rsid w:val="008328B3"/>
    <w:rsid w:val="00832DB8"/>
    <w:rsid w:val="00833479"/>
    <w:rsid w:val="00833ECC"/>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AD5"/>
    <w:rsid w:val="00851B13"/>
    <w:rsid w:val="00852EBB"/>
    <w:rsid w:val="008530AD"/>
    <w:rsid w:val="008537FB"/>
    <w:rsid w:val="00853B53"/>
    <w:rsid w:val="00854898"/>
    <w:rsid w:val="00854E3F"/>
    <w:rsid w:val="00855B72"/>
    <w:rsid w:val="00855CBB"/>
    <w:rsid w:val="008562EC"/>
    <w:rsid w:val="008562F8"/>
    <w:rsid w:val="00856602"/>
    <w:rsid w:val="0085664B"/>
    <w:rsid w:val="008566ED"/>
    <w:rsid w:val="00856AE8"/>
    <w:rsid w:val="0085747B"/>
    <w:rsid w:val="008576C0"/>
    <w:rsid w:val="00857798"/>
    <w:rsid w:val="0085780E"/>
    <w:rsid w:val="00857B5F"/>
    <w:rsid w:val="00857EFE"/>
    <w:rsid w:val="00860100"/>
    <w:rsid w:val="00860617"/>
    <w:rsid w:val="00861C88"/>
    <w:rsid w:val="00862859"/>
    <w:rsid w:val="00862882"/>
    <w:rsid w:val="008629AD"/>
    <w:rsid w:val="008629D3"/>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32D"/>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5F1E"/>
    <w:rsid w:val="008765F6"/>
    <w:rsid w:val="00876A73"/>
    <w:rsid w:val="00877142"/>
    <w:rsid w:val="008779B5"/>
    <w:rsid w:val="00877A5B"/>
    <w:rsid w:val="008805EC"/>
    <w:rsid w:val="00880604"/>
    <w:rsid w:val="00880723"/>
    <w:rsid w:val="0088099A"/>
    <w:rsid w:val="00880BB0"/>
    <w:rsid w:val="00880CFF"/>
    <w:rsid w:val="00881179"/>
    <w:rsid w:val="008818A8"/>
    <w:rsid w:val="0088191E"/>
    <w:rsid w:val="00882FA8"/>
    <w:rsid w:val="00883EDC"/>
    <w:rsid w:val="00884028"/>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69D"/>
    <w:rsid w:val="00893700"/>
    <w:rsid w:val="00893BA8"/>
    <w:rsid w:val="00893E03"/>
    <w:rsid w:val="00893F65"/>
    <w:rsid w:val="00893FBA"/>
    <w:rsid w:val="0089412D"/>
    <w:rsid w:val="00894247"/>
    <w:rsid w:val="008944D8"/>
    <w:rsid w:val="00894A46"/>
    <w:rsid w:val="00894D98"/>
    <w:rsid w:val="00895B27"/>
    <w:rsid w:val="00895E36"/>
    <w:rsid w:val="00896882"/>
    <w:rsid w:val="00897484"/>
    <w:rsid w:val="0089757E"/>
    <w:rsid w:val="00897C5E"/>
    <w:rsid w:val="008A01E9"/>
    <w:rsid w:val="008A08D6"/>
    <w:rsid w:val="008A0E6B"/>
    <w:rsid w:val="008A0EB6"/>
    <w:rsid w:val="008A0F8F"/>
    <w:rsid w:val="008A1726"/>
    <w:rsid w:val="008A17BB"/>
    <w:rsid w:val="008A1C7B"/>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58C"/>
    <w:rsid w:val="008A7768"/>
    <w:rsid w:val="008A79BC"/>
    <w:rsid w:val="008A7BD1"/>
    <w:rsid w:val="008B01E8"/>
    <w:rsid w:val="008B041F"/>
    <w:rsid w:val="008B0BA2"/>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38A"/>
    <w:rsid w:val="008B73B5"/>
    <w:rsid w:val="008B74FB"/>
    <w:rsid w:val="008B7CB3"/>
    <w:rsid w:val="008B7DED"/>
    <w:rsid w:val="008B7FF0"/>
    <w:rsid w:val="008C0359"/>
    <w:rsid w:val="008C111D"/>
    <w:rsid w:val="008C24C2"/>
    <w:rsid w:val="008C290E"/>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138A"/>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183"/>
    <w:rsid w:val="008E6B65"/>
    <w:rsid w:val="008F040E"/>
    <w:rsid w:val="008F050B"/>
    <w:rsid w:val="008F0609"/>
    <w:rsid w:val="008F0E13"/>
    <w:rsid w:val="008F1186"/>
    <w:rsid w:val="008F140A"/>
    <w:rsid w:val="008F2061"/>
    <w:rsid w:val="008F2738"/>
    <w:rsid w:val="008F28B7"/>
    <w:rsid w:val="008F2BB7"/>
    <w:rsid w:val="008F2C88"/>
    <w:rsid w:val="008F3099"/>
    <w:rsid w:val="008F347C"/>
    <w:rsid w:val="008F37CB"/>
    <w:rsid w:val="008F3B19"/>
    <w:rsid w:val="008F4686"/>
    <w:rsid w:val="008F485C"/>
    <w:rsid w:val="008F5398"/>
    <w:rsid w:val="008F54E8"/>
    <w:rsid w:val="008F55A4"/>
    <w:rsid w:val="008F58FC"/>
    <w:rsid w:val="008F6674"/>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212"/>
    <w:rsid w:val="009023DA"/>
    <w:rsid w:val="0090288C"/>
    <w:rsid w:val="00902D7D"/>
    <w:rsid w:val="0090358A"/>
    <w:rsid w:val="0090367B"/>
    <w:rsid w:val="009036B7"/>
    <w:rsid w:val="00903C24"/>
    <w:rsid w:val="00903D85"/>
    <w:rsid w:val="00903FF5"/>
    <w:rsid w:val="00904326"/>
    <w:rsid w:val="009047DA"/>
    <w:rsid w:val="0090523A"/>
    <w:rsid w:val="0090567F"/>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99C"/>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7209"/>
    <w:rsid w:val="0091752B"/>
    <w:rsid w:val="00917828"/>
    <w:rsid w:val="00917AF5"/>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789"/>
    <w:rsid w:val="009268C1"/>
    <w:rsid w:val="0092712A"/>
    <w:rsid w:val="009277DE"/>
    <w:rsid w:val="00930328"/>
    <w:rsid w:val="00930558"/>
    <w:rsid w:val="0093059B"/>
    <w:rsid w:val="00930AD9"/>
    <w:rsid w:val="00930C55"/>
    <w:rsid w:val="00930D69"/>
    <w:rsid w:val="00931106"/>
    <w:rsid w:val="00931120"/>
    <w:rsid w:val="0093114E"/>
    <w:rsid w:val="009311D6"/>
    <w:rsid w:val="0093139B"/>
    <w:rsid w:val="0093157E"/>
    <w:rsid w:val="0093187B"/>
    <w:rsid w:val="00931C00"/>
    <w:rsid w:val="00932068"/>
    <w:rsid w:val="009321B0"/>
    <w:rsid w:val="009324AA"/>
    <w:rsid w:val="009325F5"/>
    <w:rsid w:val="00932622"/>
    <w:rsid w:val="009329A8"/>
    <w:rsid w:val="00932A97"/>
    <w:rsid w:val="00933E13"/>
    <w:rsid w:val="00933EED"/>
    <w:rsid w:val="009347F3"/>
    <w:rsid w:val="00934EC0"/>
    <w:rsid w:val="009355A7"/>
    <w:rsid w:val="009360A8"/>
    <w:rsid w:val="00936502"/>
    <w:rsid w:val="0093694B"/>
    <w:rsid w:val="0093723B"/>
    <w:rsid w:val="009376A2"/>
    <w:rsid w:val="00937737"/>
    <w:rsid w:val="00937BD5"/>
    <w:rsid w:val="009406E4"/>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2980"/>
    <w:rsid w:val="0095308A"/>
    <w:rsid w:val="0095390B"/>
    <w:rsid w:val="00953A30"/>
    <w:rsid w:val="009542D6"/>
    <w:rsid w:val="009545A6"/>
    <w:rsid w:val="009547CA"/>
    <w:rsid w:val="009550D0"/>
    <w:rsid w:val="0095571D"/>
    <w:rsid w:val="00955968"/>
    <w:rsid w:val="00955994"/>
    <w:rsid w:val="00955CF3"/>
    <w:rsid w:val="00955E93"/>
    <w:rsid w:val="00956720"/>
    <w:rsid w:val="009568E3"/>
    <w:rsid w:val="00956C76"/>
    <w:rsid w:val="00956E81"/>
    <w:rsid w:val="00956FA5"/>
    <w:rsid w:val="00957001"/>
    <w:rsid w:val="00957279"/>
    <w:rsid w:val="00957398"/>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B7C"/>
    <w:rsid w:val="00962CD5"/>
    <w:rsid w:val="00963122"/>
    <w:rsid w:val="009631E8"/>
    <w:rsid w:val="00963589"/>
    <w:rsid w:val="00963A9F"/>
    <w:rsid w:val="009644BF"/>
    <w:rsid w:val="009656B8"/>
    <w:rsid w:val="00965AF7"/>
    <w:rsid w:val="00965C82"/>
    <w:rsid w:val="009662C3"/>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5A5D"/>
    <w:rsid w:val="009864C2"/>
    <w:rsid w:val="009866D2"/>
    <w:rsid w:val="00987035"/>
    <w:rsid w:val="00987529"/>
    <w:rsid w:val="00987881"/>
    <w:rsid w:val="00987935"/>
    <w:rsid w:val="00987A50"/>
    <w:rsid w:val="00987EF1"/>
    <w:rsid w:val="0099007C"/>
    <w:rsid w:val="00990099"/>
    <w:rsid w:val="00991268"/>
    <w:rsid w:val="00991509"/>
    <w:rsid w:val="009917AF"/>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2D42"/>
    <w:rsid w:val="009A311D"/>
    <w:rsid w:val="009A33CC"/>
    <w:rsid w:val="009A367A"/>
    <w:rsid w:val="009A3DB8"/>
    <w:rsid w:val="009A4614"/>
    <w:rsid w:val="009A5069"/>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747F"/>
    <w:rsid w:val="009B79EB"/>
    <w:rsid w:val="009C00E0"/>
    <w:rsid w:val="009C03A4"/>
    <w:rsid w:val="009C0538"/>
    <w:rsid w:val="009C0963"/>
    <w:rsid w:val="009C0EDA"/>
    <w:rsid w:val="009C0F06"/>
    <w:rsid w:val="009C1357"/>
    <w:rsid w:val="009C1B8D"/>
    <w:rsid w:val="009C1FDD"/>
    <w:rsid w:val="009C2203"/>
    <w:rsid w:val="009C25E2"/>
    <w:rsid w:val="009C2617"/>
    <w:rsid w:val="009C27C8"/>
    <w:rsid w:val="009C2838"/>
    <w:rsid w:val="009C2E33"/>
    <w:rsid w:val="009C3B05"/>
    <w:rsid w:val="009C41C6"/>
    <w:rsid w:val="009C455F"/>
    <w:rsid w:val="009C4C99"/>
    <w:rsid w:val="009C5163"/>
    <w:rsid w:val="009C5595"/>
    <w:rsid w:val="009C569A"/>
    <w:rsid w:val="009C5D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3E29"/>
    <w:rsid w:val="009D41CA"/>
    <w:rsid w:val="009D44FC"/>
    <w:rsid w:val="009D48BA"/>
    <w:rsid w:val="009D4EA6"/>
    <w:rsid w:val="009D56B3"/>
    <w:rsid w:val="009D5831"/>
    <w:rsid w:val="009D60E3"/>
    <w:rsid w:val="009D67EF"/>
    <w:rsid w:val="009D687C"/>
    <w:rsid w:val="009D6909"/>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ECB"/>
    <w:rsid w:val="009E4FA5"/>
    <w:rsid w:val="009E51FD"/>
    <w:rsid w:val="009E5CB1"/>
    <w:rsid w:val="009E6461"/>
    <w:rsid w:val="009E64E4"/>
    <w:rsid w:val="009E66C4"/>
    <w:rsid w:val="009E7041"/>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736"/>
    <w:rsid w:val="009F69C9"/>
    <w:rsid w:val="009F6A03"/>
    <w:rsid w:val="009F6D12"/>
    <w:rsid w:val="009F712C"/>
    <w:rsid w:val="009F72FF"/>
    <w:rsid w:val="009F734A"/>
    <w:rsid w:val="009F7557"/>
    <w:rsid w:val="009F76AC"/>
    <w:rsid w:val="009F7D44"/>
    <w:rsid w:val="009F7E6E"/>
    <w:rsid w:val="00A00055"/>
    <w:rsid w:val="00A00284"/>
    <w:rsid w:val="00A00B25"/>
    <w:rsid w:val="00A00EE5"/>
    <w:rsid w:val="00A01008"/>
    <w:rsid w:val="00A010D1"/>
    <w:rsid w:val="00A01AAB"/>
    <w:rsid w:val="00A01B38"/>
    <w:rsid w:val="00A01C69"/>
    <w:rsid w:val="00A01F96"/>
    <w:rsid w:val="00A01FB5"/>
    <w:rsid w:val="00A0203B"/>
    <w:rsid w:val="00A02315"/>
    <w:rsid w:val="00A02502"/>
    <w:rsid w:val="00A03361"/>
    <w:rsid w:val="00A037E0"/>
    <w:rsid w:val="00A03EF4"/>
    <w:rsid w:val="00A04409"/>
    <w:rsid w:val="00A04EA4"/>
    <w:rsid w:val="00A05258"/>
    <w:rsid w:val="00A0528A"/>
    <w:rsid w:val="00A05743"/>
    <w:rsid w:val="00A0583C"/>
    <w:rsid w:val="00A05F4D"/>
    <w:rsid w:val="00A06029"/>
    <w:rsid w:val="00A062C0"/>
    <w:rsid w:val="00A06B88"/>
    <w:rsid w:val="00A06DAC"/>
    <w:rsid w:val="00A0765D"/>
    <w:rsid w:val="00A07EA2"/>
    <w:rsid w:val="00A1039D"/>
    <w:rsid w:val="00A104D4"/>
    <w:rsid w:val="00A11A74"/>
    <w:rsid w:val="00A11C87"/>
    <w:rsid w:val="00A11DC4"/>
    <w:rsid w:val="00A1238C"/>
    <w:rsid w:val="00A123F7"/>
    <w:rsid w:val="00A125D4"/>
    <w:rsid w:val="00A137CD"/>
    <w:rsid w:val="00A1436A"/>
    <w:rsid w:val="00A1452F"/>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566"/>
    <w:rsid w:val="00A23A8D"/>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4E"/>
    <w:rsid w:val="00A340B8"/>
    <w:rsid w:val="00A341E5"/>
    <w:rsid w:val="00A3493E"/>
    <w:rsid w:val="00A34D9B"/>
    <w:rsid w:val="00A3512E"/>
    <w:rsid w:val="00A35798"/>
    <w:rsid w:val="00A35B65"/>
    <w:rsid w:val="00A36383"/>
    <w:rsid w:val="00A36896"/>
    <w:rsid w:val="00A36B99"/>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218"/>
    <w:rsid w:val="00A43439"/>
    <w:rsid w:val="00A43D06"/>
    <w:rsid w:val="00A43E50"/>
    <w:rsid w:val="00A43EC5"/>
    <w:rsid w:val="00A43F0C"/>
    <w:rsid w:val="00A441B7"/>
    <w:rsid w:val="00A444DE"/>
    <w:rsid w:val="00A445B6"/>
    <w:rsid w:val="00A446F5"/>
    <w:rsid w:val="00A44827"/>
    <w:rsid w:val="00A44950"/>
    <w:rsid w:val="00A452EA"/>
    <w:rsid w:val="00A453C1"/>
    <w:rsid w:val="00A4630B"/>
    <w:rsid w:val="00A46FDA"/>
    <w:rsid w:val="00A47A01"/>
    <w:rsid w:val="00A47B30"/>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2C8"/>
    <w:rsid w:val="00A62300"/>
    <w:rsid w:val="00A623E3"/>
    <w:rsid w:val="00A6256C"/>
    <w:rsid w:val="00A62822"/>
    <w:rsid w:val="00A63264"/>
    <w:rsid w:val="00A6388F"/>
    <w:rsid w:val="00A63B97"/>
    <w:rsid w:val="00A64162"/>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8B6"/>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3DB7"/>
    <w:rsid w:val="00A73F96"/>
    <w:rsid w:val="00A74962"/>
    <w:rsid w:val="00A74A0B"/>
    <w:rsid w:val="00A7502A"/>
    <w:rsid w:val="00A75EF4"/>
    <w:rsid w:val="00A761E2"/>
    <w:rsid w:val="00A762A2"/>
    <w:rsid w:val="00A7634B"/>
    <w:rsid w:val="00A76687"/>
    <w:rsid w:val="00A76C49"/>
    <w:rsid w:val="00A76E0A"/>
    <w:rsid w:val="00A773BC"/>
    <w:rsid w:val="00A77605"/>
    <w:rsid w:val="00A776DF"/>
    <w:rsid w:val="00A7777E"/>
    <w:rsid w:val="00A77F76"/>
    <w:rsid w:val="00A80227"/>
    <w:rsid w:val="00A80DEF"/>
    <w:rsid w:val="00A82372"/>
    <w:rsid w:val="00A82962"/>
    <w:rsid w:val="00A82B8B"/>
    <w:rsid w:val="00A82CC4"/>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12D"/>
    <w:rsid w:val="00A91341"/>
    <w:rsid w:val="00A91422"/>
    <w:rsid w:val="00A919D2"/>
    <w:rsid w:val="00A92D2C"/>
    <w:rsid w:val="00A93086"/>
    <w:rsid w:val="00A93D55"/>
    <w:rsid w:val="00A93EE3"/>
    <w:rsid w:val="00A940F0"/>
    <w:rsid w:val="00A94355"/>
    <w:rsid w:val="00A9487F"/>
    <w:rsid w:val="00A94FE7"/>
    <w:rsid w:val="00A956BA"/>
    <w:rsid w:val="00A95A9E"/>
    <w:rsid w:val="00A95DFB"/>
    <w:rsid w:val="00A96C02"/>
    <w:rsid w:val="00A97081"/>
    <w:rsid w:val="00A972ED"/>
    <w:rsid w:val="00A97892"/>
    <w:rsid w:val="00AA0892"/>
    <w:rsid w:val="00AA0B61"/>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537"/>
    <w:rsid w:val="00AA5957"/>
    <w:rsid w:val="00AA5C5C"/>
    <w:rsid w:val="00AA5D12"/>
    <w:rsid w:val="00AA64EB"/>
    <w:rsid w:val="00AA69E0"/>
    <w:rsid w:val="00AA6FAC"/>
    <w:rsid w:val="00AA7306"/>
    <w:rsid w:val="00AA7B70"/>
    <w:rsid w:val="00AA7BBD"/>
    <w:rsid w:val="00AA7FB6"/>
    <w:rsid w:val="00AB03F5"/>
    <w:rsid w:val="00AB0789"/>
    <w:rsid w:val="00AB0D59"/>
    <w:rsid w:val="00AB0EDC"/>
    <w:rsid w:val="00AB11B3"/>
    <w:rsid w:val="00AB13A6"/>
    <w:rsid w:val="00AB13E6"/>
    <w:rsid w:val="00AB1938"/>
    <w:rsid w:val="00AB1DA4"/>
    <w:rsid w:val="00AB1F24"/>
    <w:rsid w:val="00AB230C"/>
    <w:rsid w:val="00AB2596"/>
    <w:rsid w:val="00AB26CD"/>
    <w:rsid w:val="00AB27DE"/>
    <w:rsid w:val="00AB2FFE"/>
    <w:rsid w:val="00AB30A9"/>
    <w:rsid w:val="00AB31D2"/>
    <w:rsid w:val="00AB32F8"/>
    <w:rsid w:val="00AB3A4B"/>
    <w:rsid w:val="00AB3ADA"/>
    <w:rsid w:val="00AB3D3A"/>
    <w:rsid w:val="00AB4CEE"/>
    <w:rsid w:val="00AB4DE3"/>
    <w:rsid w:val="00AB546E"/>
    <w:rsid w:val="00AB5472"/>
    <w:rsid w:val="00AB5B3E"/>
    <w:rsid w:val="00AB5B72"/>
    <w:rsid w:val="00AB5CDA"/>
    <w:rsid w:val="00AB6864"/>
    <w:rsid w:val="00AB68A1"/>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0F70"/>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84"/>
    <w:rsid w:val="00AD72B4"/>
    <w:rsid w:val="00AD7528"/>
    <w:rsid w:val="00AE0555"/>
    <w:rsid w:val="00AE064E"/>
    <w:rsid w:val="00AE0CD0"/>
    <w:rsid w:val="00AE0EA3"/>
    <w:rsid w:val="00AE0FA5"/>
    <w:rsid w:val="00AE13FA"/>
    <w:rsid w:val="00AE1451"/>
    <w:rsid w:val="00AE1C04"/>
    <w:rsid w:val="00AE1DFB"/>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ACB"/>
    <w:rsid w:val="00AF7BB6"/>
    <w:rsid w:val="00B0017D"/>
    <w:rsid w:val="00B002F9"/>
    <w:rsid w:val="00B00452"/>
    <w:rsid w:val="00B00885"/>
    <w:rsid w:val="00B00986"/>
    <w:rsid w:val="00B00CEB"/>
    <w:rsid w:val="00B010C1"/>
    <w:rsid w:val="00B01133"/>
    <w:rsid w:val="00B0164B"/>
    <w:rsid w:val="00B01C7D"/>
    <w:rsid w:val="00B01CA6"/>
    <w:rsid w:val="00B02208"/>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DBE"/>
    <w:rsid w:val="00B10661"/>
    <w:rsid w:val="00B106B5"/>
    <w:rsid w:val="00B106E8"/>
    <w:rsid w:val="00B107AC"/>
    <w:rsid w:val="00B1082D"/>
    <w:rsid w:val="00B109B4"/>
    <w:rsid w:val="00B1102B"/>
    <w:rsid w:val="00B1183D"/>
    <w:rsid w:val="00B12150"/>
    <w:rsid w:val="00B122E6"/>
    <w:rsid w:val="00B126B8"/>
    <w:rsid w:val="00B12C72"/>
    <w:rsid w:val="00B13107"/>
    <w:rsid w:val="00B1330F"/>
    <w:rsid w:val="00B13551"/>
    <w:rsid w:val="00B13938"/>
    <w:rsid w:val="00B13C95"/>
    <w:rsid w:val="00B14065"/>
    <w:rsid w:val="00B144D1"/>
    <w:rsid w:val="00B14C87"/>
    <w:rsid w:val="00B14E01"/>
    <w:rsid w:val="00B159C3"/>
    <w:rsid w:val="00B163E9"/>
    <w:rsid w:val="00B166F3"/>
    <w:rsid w:val="00B17186"/>
    <w:rsid w:val="00B1767B"/>
    <w:rsid w:val="00B1787D"/>
    <w:rsid w:val="00B17C98"/>
    <w:rsid w:val="00B17FD0"/>
    <w:rsid w:val="00B20097"/>
    <w:rsid w:val="00B20857"/>
    <w:rsid w:val="00B209EA"/>
    <w:rsid w:val="00B20FA4"/>
    <w:rsid w:val="00B21082"/>
    <w:rsid w:val="00B21439"/>
    <w:rsid w:val="00B21E2D"/>
    <w:rsid w:val="00B22A34"/>
    <w:rsid w:val="00B22F79"/>
    <w:rsid w:val="00B2356D"/>
    <w:rsid w:val="00B235E8"/>
    <w:rsid w:val="00B23A2C"/>
    <w:rsid w:val="00B23C24"/>
    <w:rsid w:val="00B24145"/>
    <w:rsid w:val="00B241C7"/>
    <w:rsid w:val="00B24496"/>
    <w:rsid w:val="00B246EE"/>
    <w:rsid w:val="00B24880"/>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AF8"/>
    <w:rsid w:val="00B31EF0"/>
    <w:rsid w:val="00B31F10"/>
    <w:rsid w:val="00B3257C"/>
    <w:rsid w:val="00B32707"/>
    <w:rsid w:val="00B3340A"/>
    <w:rsid w:val="00B3480E"/>
    <w:rsid w:val="00B34ABB"/>
    <w:rsid w:val="00B34FEE"/>
    <w:rsid w:val="00B35196"/>
    <w:rsid w:val="00B356C1"/>
    <w:rsid w:val="00B356EF"/>
    <w:rsid w:val="00B35C7E"/>
    <w:rsid w:val="00B35F6E"/>
    <w:rsid w:val="00B36145"/>
    <w:rsid w:val="00B36529"/>
    <w:rsid w:val="00B367A8"/>
    <w:rsid w:val="00B36DEA"/>
    <w:rsid w:val="00B37023"/>
    <w:rsid w:val="00B370AB"/>
    <w:rsid w:val="00B37570"/>
    <w:rsid w:val="00B3773B"/>
    <w:rsid w:val="00B37A4C"/>
    <w:rsid w:val="00B37ACB"/>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437E"/>
    <w:rsid w:val="00B4537F"/>
    <w:rsid w:val="00B45B4F"/>
    <w:rsid w:val="00B45EC0"/>
    <w:rsid w:val="00B46E27"/>
    <w:rsid w:val="00B471B6"/>
    <w:rsid w:val="00B47B5A"/>
    <w:rsid w:val="00B501AF"/>
    <w:rsid w:val="00B50375"/>
    <w:rsid w:val="00B50426"/>
    <w:rsid w:val="00B50595"/>
    <w:rsid w:val="00B50C4E"/>
    <w:rsid w:val="00B5113A"/>
    <w:rsid w:val="00B51358"/>
    <w:rsid w:val="00B51974"/>
    <w:rsid w:val="00B53983"/>
    <w:rsid w:val="00B543AD"/>
    <w:rsid w:val="00B54709"/>
    <w:rsid w:val="00B55228"/>
    <w:rsid w:val="00B55654"/>
    <w:rsid w:val="00B5568E"/>
    <w:rsid w:val="00B55B7F"/>
    <w:rsid w:val="00B55C95"/>
    <w:rsid w:val="00B55D79"/>
    <w:rsid w:val="00B56219"/>
    <w:rsid w:val="00B562BD"/>
    <w:rsid w:val="00B5640A"/>
    <w:rsid w:val="00B564B4"/>
    <w:rsid w:val="00B56722"/>
    <w:rsid w:val="00B5675B"/>
    <w:rsid w:val="00B56A31"/>
    <w:rsid w:val="00B56CD9"/>
    <w:rsid w:val="00B56CF8"/>
    <w:rsid w:val="00B56DB2"/>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685"/>
    <w:rsid w:val="00B6580F"/>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0436"/>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489"/>
    <w:rsid w:val="00B8057B"/>
    <w:rsid w:val="00B808C3"/>
    <w:rsid w:val="00B80F50"/>
    <w:rsid w:val="00B811B5"/>
    <w:rsid w:val="00B814A1"/>
    <w:rsid w:val="00B81A1A"/>
    <w:rsid w:val="00B81BEE"/>
    <w:rsid w:val="00B81C28"/>
    <w:rsid w:val="00B81DE0"/>
    <w:rsid w:val="00B82456"/>
    <w:rsid w:val="00B82460"/>
    <w:rsid w:val="00B824E4"/>
    <w:rsid w:val="00B82694"/>
    <w:rsid w:val="00B827C8"/>
    <w:rsid w:val="00B832E1"/>
    <w:rsid w:val="00B83A12"/>
    <w:rsid w:val="00B83E2C"/>
    <w:rsid w:val="00B84011"/>
    <w:rsid w:val="00B84232"/>
    <w:rsid w:val="00B84C2E"/>
    <w:rsid w:val="00B84E08"/>
    <w:rsid w:val="00B854A8"/>
    <w:rsid w:val="00B85867"/>
    <w:rsid w:val="00B85B53"/>
    <w:rsid w:val="00B85D0D"/>
    <w:rsid w:val="00B86144"/>
    <w:rsid w:val="00B861F1"/>
    <w:rsid w:val="00B869DA"/>
    <w:rsid w:val="00B86B70"/>
    <w:rsid w:val="00B87BA1"/>
    <w:rsid w:val="00B87CEB"/>
    <w:rsid w:val="00B90529"/>
    <w:rsid w:val="00B90BDB"/>
    <w:rsid w:val="00B91023"/>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97C51"/>
    <w:rsid w:val="00BA0259"/>
    <w:rsid w:val="00BA025A"/>
    <w:rsid w:val="00BA0949"/>
    <w:rsid w:val="00BA0E0C"/>
    <w:rsid w:val="00BA13EB"/>
    <w:rsid w:val="00BA1750"/>
    <w:rsid w:val="00BA17B6"/>
    <w:rsid w:val="00BA18DD"/>
    <w:rsid w:val="00BA1A5C"/>
    <w:rsid w:val="00BA23A3"/>
    <w:rsid w:val="00BA264F"/>
    <w:rsid w:val="00BA2A98"/>
    <w:rsid w:val="00BA2BFD"/>
    <w:rsid w:val="00BA3044"/>
    <w:rsid w:val="00BA3E9C"/>
    <w:rsid w:val="00BA3F29"/>
    <w:rsid w:val="00BA41D6"/>
    <w:rsid w:val="00BA4EF6"/>
    <w:rsid w:val="00BA56A2"/>
    <w:rsid w:val="00BA603A"/>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248C"/>
    <w:rsid w:val="00BB2E17"/>
    <w:rsid w:val="00BB37F7"/>
    <w:rsid w:val="00BB3AE2"/>
    <w:rsid w:val="00BB498B"/>
    <w:rsid w:val="00BB4BBE"/>
    <w:rsid w:val="00BB4E1B"/>
    <w:rsid w:val="00BB5250"/>
    <w:rsid w:val="00BB562B"/>
    <w:rsid w:val="00BB5998"/>
    <w:rsid w:val="00BB6A15"/>
    <w:rsid w:val="00BB6E1B"/>
    <w:rsid w:val="00BB732D"/>
    <w:rsid w:val="00BB7802"/>
    <w:rsid w:val="00BB7B7B"/>
    <w:rsid w:val="00BB7D73"/>
    <w:rsid w:val="00BC0483"/>
    <w:rsid w:val="00BC0508"/>
    <w:rsid w:val="00BC0549"/>
    <w:rsid w:val="00BC0729"/>
    <w:rsid w:val="00BC074D"/>
    <w:rsid w:val="00BC0E25"/>
    <w:rsid w:val="00BC1025"/>
    <w:rsid w:val="00BC1257"/>
    <w:rsid w:val="00BC1676"/>
    <w:rsid w:val="00BC19D9"/>
    <w:rsid w:val="00BC1A14"/>
    <w:rsid w:val="00BC1FD3"/>
    <w:rsid w:val="00BC2192"/>
    <w:rsid w:val="00BC2B06"/>
    <w:rsid w:val="00BC2C17"/>
    <w:rsid w:val="00BC2F45"/>
    <w:rsid w:val="00BC3C0A"/>
    <w:rsid w:val="00BC4D7A"/>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305"/>
    <w:rsid w:val="00BD4A57"/>
    <w:rsid w:val="00BD51BD"/>
    <w:rsid w:val="00BD51DF"/>
    <w:rsid w:val="00BD51F3"/>
    <w:rsid w:val="00BD5362"/>
    <w:rsid w:val="00BD5424"/>
    <w:rsid w:val="00BD569E"/>
    <w:rsid w:val="00BD5C64"/>
    <w:rsid w:val="00BD6038"/>
    <w:rsid w:val="00BD65BD"/>
    <w:rsid w:val="00BD6CEF"/>
    <w:rsid w:val="00BD73F6"/>
    <w:rsid w:val="00BD7767"/>
    <w:rsid w:val="00BD7D8E"/>
    <w:rsid w:val="00BD7E96"/>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2A5"/>
    <w:rsid w:val="00BE447E"/>
    <w:rsid w:val="00BE4D20"/>
    <w:rsid w:val="00BE4F71"/>
    <w:rsid w:val="00BE582D"/>
    <w:rsid w:val="00BE625F"/>
    <w:rsid w:val="00BE6639"/>
    <w:rsid w:val="00BE66BA"/>
    <w:rsid w:val="00BE683A"/>
    <w:rsid w:val="00BE6A7D"/>
    <w:rsid w:val="00BE7036"/>
    <w:rsid w:val="00BE70CA"/>
    <w:rsid w:val="00BE71EF"/>
    <w:rsid w:val="00BE7258"/>
    <w:rsid w:val="00BE777C"/>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BEF"/>
    <w:rsid w:val="00BF6F59"/>
    <w:rsid w:val="00BF7CF6"/>
    <w:rsid w:val="00C00575"/>
    <w:rsid w:val="00C007A1"/>
    <w:rsid w:val="00C0085A"/>
    <w:rsid w:val="00C00B2E"/>
    <w:rsid w:val="00C022AD"/>
    <w:rsid w:val="00C02BC3"/>
    <w:rsid w:val="00C03003"/>
    <w:rsid w:val="00C0359F"/>
    <w:rsid w:val="00C035B0"/>
    <w:rsid w:val="00C036C7"/>
    <w:rsid w:val="00C04508"/>
    <w:rsid w:val="00C04856"/>
    <w:rsid w:val="00C04984"/>
    <w:rsid w:val="00C049DE"/>
    <w:rsid w:val="00C050C8"/>
    <w:rsid w:val="00C0538B"/>
    <w:rsid w:val="00C05B9F"/>
    <w:rsid w:val="00C05CE6"/>
    <w:rsid w:val="00C05DF9"/>
    <w:rsid w:val="00C05E28"/>
    <w:rsid w:val="00C05E69"/>
    <w:rsid w:val="00C05FEE"/>
    <w:rsid w:val="00C06D7A"/>
    <w:rsid w:val="00C07585"/>
    <w:rsid w:val="00C079AD"/>
    <w:rsid w:val="00C07CD0"/>
    <w:rsid w:val="00C07DB2"/>
    <w:rsid w:val="00C07E49"/>
    <w:rsid w:val="00C1021E"/>
    <w:rsid w:val="00C10739"/>
    <w:rsid w:val="00C11047"/>
    <w:rsid w:val="00C111B0"/>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AF"/>
    <w:rsid w:val="00C30AB5"/>
    <w:rsid w:val="00C30CF1"/>
    <w:rsid w:val="00C3148E"/>
    <w:rsid w:val="00C3170A"/>
    <w:rsid w:val="00C31972"/>
    <w:rsid w:val="00C31D58"/>
    <w:rsid w:val="00C32AF2"/>
    <w:rsid w:val="00C32D3A"/>
    <w:rsid w:val="00C32FAF"/>
    <w:rsid w:val="00C331E9"/>
    <w:rsid w:val="00C333DE"/>
    <w:rsid w:val="00C3363A"/>
    <w:rsid w:val="00C33994"/>
    <w:rsid w:val="00C33A92"/>
    <w:rsid w:val="00C33D3F"/>
    <w:rsid w:val="00C3467F"/>
    <w:rsid w:val="00C3476D"/>
    <w:rsid w:val="00C34C25"/>
    <w:rsid w:val="00C34F0F"/>
    <w:rsid w:val="00C34FF9"/>
    <w:rsid w:val="00C35055"/>
    <w:rsid w:val="00C3563B"/>
    <w:rsid w:val="00C36102"/>
    <w:rsid w:val="00C361EB"/>
    <w:rsid w:val="00C365C2"/>
    <w:rsid w:val="00C368B4"/>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56D8"/>
    <w:rsid w:val="00C464D8"/>
    <w:rsid w:val="00C46A05"/>
    <w:rsid w:val="00C46BF0"/>
    <w:rsid w:val="00C46F64"/>
    <w:rsid w:val="00C47B25"/>
    <w:rsid w:val="00C502A2"/>
    <w:rsid w:val="00C5030C"/>
    <w:rsid w:val="00C50382"/>
    <w:rsid w:val="00C504E9"/>
    <w:rsid w:val="00C508C3"/>
    <w:rsid w:val="00C50C99"/>
    <w:rsid w:val="00C50CE4"/>
    <w:rsid w:val="00C51070"/>
    <w:rsid w:val="00C5132D"/>
    <w:rsid w:val="00C514D8"/>
    <w:rsid w:val="00C51986"/>
    <w:rsid w:val="00C51BA1"/>
    <w:rsid w:val="00C52318"/>
    <w:rsid w:val="00C53A7B"/>
    <w:rsid w:val="00C53AFB"/>
    <w:rsid w:val="00C53B61"/>
    <w:rsid w:val="00C53C2D"/>
    <w:rsid w:val="00C53CDB"/>
    <w:rsid w:val="00C547D9"/>
    <w:rsid w:val="00C54A14"/>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867"/>
    <w:rsid w:val="00C60B5A"/>
    <w:rsid w:val="00C60F1B"/>
    <w:rsid w:val="00C61288"/>
    <w:rsid w:val="00C61468"/>
    <w:rsid w:val="00C62275"/>
    <w:rsid w:val="00C62861"/>
    <w:rsid w:val="00C62A8A"/>
    <w:rsid w:val="00C62AB5"/>
    <w:rsid w:val="00C62C79"/>
    <w:rsid w:val="00C62E3B"/>
    <w:rsid w:val="00C63199"/>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67BB1"/>
    <w:rsid w:val="00C67FCA"/>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2D5"/>
    <w:rsid w:val="00C744F4"/>
    <w:rsid w:val="00C745F4"/>
    <w:rsid w:val="00C749EA"/>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C02"/>
    <w:rsid w:val="00C84728"/>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9AE"/>
    <w:rsid w:val="00C92088"/>
    <w:rsid w:val="00C9233C"/>
    <w:rsid w:val="00C926DA"/>
    <w:rsid w:val="00C92838"/>
    <w:rsid w:val="00C93318"/>
    <w:rsid w:val="00C93645"/>
    <w:rsid w:val="00C937A8"/>
    <w:rsid w:val="00C93A8A"/>
    <w:rsid w:val="00C93B4B"/>
    <w:rsid w:val="00C94108"/>
    <w:rsid w:val="00C94ADC"/>
    <w:rsid w:val="00C94C02"/>
    <w:rsid w:val="00C94FF0"/>
    <w:rsid w:val="00C9536E"/>
    <w:rsid w:val="00C95557"/>
    <w:rsid w:val="00C95667"/>
    <w:rsid w:val="00C9587F"/>
    <w:rsid w:val="00C95E7F"/>
    <w:rsid w:val="00C963FC"/>
    <w:rsid w:val="00C96849"/>
    <w:rsid w:val="00C96B47"/>
    <w:rsid w:val="00C97582"/>
    <w:rsid w:val="00C977F0"/>
    <w:rsid w:val="00C97AD6"/>
    <w:rsid w:val="00C97C45"/>
    <w:rsid w:val="00C97D88"/>
    <w:rsid w:val="00C97D8B"/>
    <w:rsid w:val="00CA038A"/>
    <w:rsid w:val="00CA06E1"/>
    <w:rsid w:val="00CA0FA2"/>
    <w:rsid w:val="00CA1B82"/>
    <w:rsid w:val="00CA1DBE"/>
    <w:rsid w:val="00CA22BE"/>
    <w:rsid w:val="00CA25C0"/>
    <w:rsid w:val="00CA33A0"/>
    <w:rsid w:val="00CA35BE"/>
    <w:rsid w:val="00CA4273"/>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1EF0"/>
    <w:rsid w:val="00CB2150"/>
    <w:rsid w:val="00CB2302"/>
    <w:rsid w:val="00CB24A3"/>
    <w:rsid w:val="00CB2583"/>
    <w:rsid w:val="00CB2B6F"/>
    <w:rsid w:val="00CB2FF7"/>
    <w:rsid w:val="00CB305C"/>
    <w:rsid w:val="00CB30B5"/>
    <w:rsid w:val="00CB3638"/>
    <w:rsid w:val="00CB396C"/>
    <w:rsid w:val="00CB3B36"/>
    <w:rsid w:val="00CB402C"/>
    <w:rsid w:val="00CB4AE8"/>
    <w:rsid w:val="00CB4B50"/>
    <w:rsid w:val="00CB4E0C"/>
    <w:rsid w:val="00CB4EE9"/>
    <w:rsid w:val="00CB5519"/>
    <w:rsid w:val="00CB5CD2"/>
    <w:rsid w:val="00CB5EB0"/>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D5F"/>
    <w:rsid w:val="00CC1FA5"/>
    <w:rsid w:val="00CC24A6"/>
    <w:rsid w:val="00CC2AD7"/>
    <w:rsid w:val="00CC2F87"/>
    <w:rsid w:val="00CC321F"/>
    <w:rsid w:val="00CC37D4"/>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B9"/>
    <w:rsid w:val="00CD732E"/>
    <w:rsid w:val="00CD7F55"/>
    <w:rsid w:val="00CE08CF"/>
    <w:rsid w:val="00CE0B02"/>
    <w:rsid w:val="00CE187C"/>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49A"/>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788"/>
    <w:rsid w:val="00CF49DC"/>
    <w:rsid w:val="00CF5044"/>
    <w:rsid w:val="00CF560B"/>
    <w:rsid w:val="00CF6051"/>
    <w:rsid w:val="00CF6B6A"/>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3FA"/>
    <w:rsid w:val="00D03D01"/>
    <w:rsid w:val="00D047A8"/>
    <w:rsid w:val="00D04E3B"/>
    <w:rsid w:val="00D06598"/>
    <w:rsid w:val="00D06624"/>
    <w:rsid w:val="00D06651"/>
    <w:rsid w:val="00D06B1C"/>
    <w:rsid w:val="00D078BE"/>
    <w:rsid w:val="00D07C40"/>
    <w:rsid w:val="00D07EEE"/>
    <w:rsid w:val="00D103EE"/>
    <w:rsid w:val="00D107EB"/>
    <w:rsid w:val="00D10886"/>
    <w:rsid w:val="00D11727"/>
    <w:rsid w:val="00D11BD6"/>
    <w:rsid w:val="00D11E08"/>
    <w:rsid w:val="00D11E58"/>
    <w:rsid w:val="00D12074"/>
    <w:rsid w:val="00D129B2"/>
    <w:rsid w:val="00D12CD5"/>
    <w:rsid w:val="00D131E0"/>
    <w:rsid w:val="00D13439"/>
    <w:rsid w:val="00D13789"/>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C6F"/>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3FE6"/>
    <w:rsid w:val="00D44B05"/>
    <w:rsid w:val="00D45016"/>
    <w:rsid w:val="00D456CA"/>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C50"/>
    <w:rsid w:val="00D55E5C"/>
    <w:rsid w:val="00D55EA0"/>
    <w:rsid w:val="00D56539"/>
    <w:rsid w:val="00D568E3"/>
    <w:rsid w:val="00D56EE1"/>
    <w:rsid w:val="00D571EB"/>
    <w:rsid w:val="00D5737C"/>
    <w:rsid w:val="00D57718"/>
    <w:rsid w:val="00D57F48"/>
    <w:rsid w:val="00D6016F"/>
    <w:rsid w:val="00D601BD"/>
    <w:rsid w:val="00D6032D"/>
    <w:rsid w:val="00D603B0"/>
    <w:rsid w:val="00D604E7"/>
    <w:rsid w:val="00D6055A"/>
    <w:rsid w:val="00D61461"/>
    <w:rsid w:val="00D61597"/>
    <w:rsid w:val="00D61A36"/>
    <w:rsid w:val="00D61C38"/>
    <w:rsid w:val="00D61F14"/>
    <w:rsid w:val="00D62418"/>
    <w:rsid w:val="00D6255B"/>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67621"/>
    <w:rsid w:val="00D701A0"/>
    <w:rsid w:val="00D70FEA"/>
    <w:rsid w:val="00D713F7"/>
    <w:rsid w:val="00D71B64"/>
    <w:rsid w:val="00D721A2"/>
    <w:rsid w:val="00D7234C"/>
    <w:rsid w:val="00D7275D"/>
    <w:rsid w:val="00D7299D"/>
    <w:rsid w:val="00D72AA4"/>
    <w:rsid w:val="00D72AAE"/>
    <w:rsid w:val="00D72AB2"/>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77F01"/>
    <w:rsid w:val="00D805A1"/>
    <w:rsid w:val="00D807FF"/>
    <w:rsid w:val="00D8114F"/>
    <w:rsid w:val="00D811CB"/>
    <w:rsid w:val="00D819CE"/>
    <w:rsid w:val="00D81B9E"/>
    <w:rsid w:val="00D82016"/>
    <w:rsid w:val="00D82725"/>
    <w:rsid w:val="00D82AFA"/>
    <w:rsid w:val="00D82D5C"/>
    <w:rsid w:val="00D83BE9"/>
    <w:rsid w:val="00D83BEC"/>
    <w:rsid w:val="00D84627"/>
    <w:rsid w:val="00D848E7"/>
    <w:rsid w:val="00D84944"/>
    <w:rsid w:val="00D84F67"/>
    <w:rsid w:val="00D85E68"/>
    <w:rsid w:val="00D85E72"/>
    <w:rsid w:val="00D865AA"/>
    <w:rsid w:val="00D86607"/>
    <w:rsid w:val="00D86E33"/>
    <w:rsid w:val="00D86E6D"/>
    <w:rsid w:val="00D87037"/>
    <w:rsid w:val="00D87203"/>
    <w:rsid w:val="00D874A5"/>
    <w:rsid w:val="00D87935"/>
    <w:rsid w:val="00D87B4D"/>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5F0B"/>
    <w:rsid w:val="00D960E8"/>
    <w:rsid w:val="00D967A1"/>
    <w:rsid w:val="00D9722D"/>
    <w:rsid w:val="00D97435"/>
    <w:rsid w:val="00D9745C"/>
    <w:rsid w:val="00D9792F"/>
    <w:rsid w:val="00DA034B"/>
    <w:rsid w:val="00DA1A1F"/>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2C1E"/>
    <w:rsid w:val="00DB32D9"/>
    <w:rsid w:val="00DB355F"/>
    <w:rsid w:val="00DB3AC9"/>
    <w:rsid w:val="00DB3B7E"/>
    <w:rsid w:val="00DB40D3"/>
    <w:rsid w:val="00DB41BD"/>
    <w:rsid w:val="00DB42EF"/>
    <w:rsid w:val="00DB466B"/>
    <w:rsid w:val="00DB4B95"/>
    <w:rsid w:val="00DB4DD2"/>
    <w:rsid w:val="00DB4EBD"/>
    <w:rsid w:val="00DB5393"/>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6123"/>
    <w:rsid w:val="00DD6309"/>
    <w:rsid w:val="00DD7A34"/>
    <w:rsid w:val="00DE00E4"/>
    <w:rsid w:val="00DE02DE"/>
    <w:rsid w:val="00DE072B"/>
    <w:rsid w:val="00DE0897"/>
    <w:rsid w:val="00DE0DC8"/>
    <w:rsid w:val="00DE11E7"/>
    <w:rsid w:val="00DE12DA"/>
    <w:rsid w:val="00DE12FB"/>
    <w:rsid w:val="00DE1C18"/>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6F26"/>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4E84"/>
    <w:rsid w:val="00DF579D"/>
    <w:rsid w:val="00DF5C8C"/>
    <w:rsid w:val="00DF6638"/>
    <w:rsid w:val="00DF69B6"/>
    <w:rsid w:val="00DF6DA4"/>
    <w:rsid w:val="00DF6DFE"/>
    <w:rsid w:val="00DF7296"/>
    <w:rsid w:val="00DF7A5D"/>
    <w:rsid w:val="00E00434"/>
    <w:rsid w:val="00E00B4F"/>
    <w:rsid w:val="00E00E96"/>
    <w:rsid w:val="00E010D6"/>
    <w:rsid w:val="00E0151B"/>
    <w:rsid w:val="00E019B8"/>
    <w:rsid w:val="00E01E77"/>
    <w:rsid w:val="00E02715"/>
    <w:rsid w:val="00E0273B"/>
    <w:rsid w:val="00E02CEB"/>
    <w:rsid w:val="00E02F0C"/>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C4B"/>
    <w:rsid w:val="00E05DC3"/>
    <w:rsid w:val="00E06582"/>
    <w:rsid w:val="00E06859"/>
    <w:rsid w:val="00E06AED"/>
    <w:rsid w:val="00E0735A"/>
    <w:rsid w:val="00E076D4"/>
    <w:rsid w:val="00E07954"/>
    <w:rsid w:val="00E079E5"/>
    <w:rsid w:val="00E07B26"/>
    <w:rsid w:val="00E101B1"/>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EBC"/>
    <w:rsid w:val="00E14FB0"/>
    <w:rsid w:val="00E153AA"/>
    <w:rsid w:val="00E1559B"/>
    <w:rsid w:val="00E15629"/>
    <w:rsid w:val="00E157BC"/>
    <w:rsid w:val="00E15DB0"/>
    <w:rsid w:val="00E15EE6"/>
    <w:rsid w:val="00E1602A"/>
    <w:rsid w:val="00E16424"/>
    <w:rsid w:val="00E165E6"/>
    <w:rsid w:val="00E16B76"/>
    <w:rsid w:val="00E16E96"/>
    <w:rsid w:val="00E17079"/>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F4B"/>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D26"/>
    <w:rsid w:val="00E31F00"/>
    <w:rsid w:val="00E3204C"/>
    <w:rsid w:val="00E331BD"/>
    <w:rsid w:val="00E33D9C"/>
    <w:rsid w:val="00E342A7"/>
    <w:rsid w:val="00E34323"/>
    <w:rsid w:val="00E347B2"/>
    <w:rsid w:val="00E34F66"/>
    <w:rsid w:val="00E3541F"/>
    <w:rsid w:val="00E354BF"/>
    <w:rsid w:val="00E354E3"/>
    <w:rsid w:val="00E3567D"/>
    <w:rsid w:val="00E35A46"/>
    <w:rsid w:val="00E360EB"/>
    <w:rsid w:val="00E36351"/>
    <w:rsid w:val="00E363BF"/>
    <w:rsid w:val="00E3673A"/>
    <w:rsid w:val="00E37514"/>
    <w:rsid w:val="00E37D23"/>
    <w:rsid w:val="00E40E46"/>
    <w:rsid w:val="00E40EEA"/>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B43"/>
    <w:rsid w:val="00E47957"/>
    <w:rsid w:val="00E47DFE"/>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3BA5"/>
    <w:rsid w:val="00E54260"/>
    <w:rsid w:val="00E5480C"/>
    <w:rsid w:val="00E549D2"/>
    <w:rsid w:val="00E54E9F"/>
    <w:rsid w:val="00E554CA"/>
    <w:rsid w:val="00E5556D"/>
    <w:rsid w:val="00E55727"/>
    <w:rsid w:val="00E55A08"/>
    <w:rsid w:val="00E55ACB"/>
    <w:rsid w:val="00E563C4"/>
    <w:rsid w:val="00E56CA6"/>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3CC"/>
    <w:rsid w:val="00E64F73"/>
    <w:rsid w:val="00E65CAF"/>
    <w:rsid w:val="00E6656C"/>
    <w:rsid w:val="00E66945"/>
    <w:rsid w:val="00E66BAD"/>
    <w:rsid w:val="00E6758A"/>
    <w:rsid w:val="00E67711"/>
    <w:rsid w:val="00E67AE6"/>
    <w:rsid w:val="00E67E76"/>
    <w:rsid w:val="00E70038"/>
    <w:rsid w:val="00E70136"/>
    <w:rsid w:val="00E706C8"/>
    <w:rsid w:val="00E70C93"/>
    <w:rsid w:val="00E715F5"/>
    <w:rsid w:val="00E71B90"/>
    <w:rsid w:val="00E71BFA"/>
    <w:rsid w:val="00E720A6"/>
    <w:rsid w:val="00E72308"/>
    <w:rsid w:val="00E7249E"/>
    <w:rsid w:val="00E7276B"/>
    <w:rsid w:val="00E72C9A"/>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194"/>
    <w:rsid w:val="00E81358"/>
    <w:rsid w:val="00E8153F"/>
    <w:rsid w:val="00E8167D"/>
    <w:rsid w:val="00E818F2"/>
    <w:rsid w:val="00E81945"/>
    <w:rsid w:val="00E81E2D"/>
    <w:rsid w:val="00E83797"/>
    <w:rsid w:val="00E83DF5"/>
    <w:rsid w:val="00E83EDE"/>
    <w:rsid w:val="00E83F10"/>
    <w:rsid w:val="00E84574"/>
    <w:rsid w:val="00E84DBD"/>
    <w:rsid w:val="00E85415"/>
    <w:rsid w:val="00E85575"/>
    <w:rsid w:val="00E855F8"/>
    <w:rsid w:val="00E85818"/>
    <w:rsid w:val="00E859D8"/>
    <w:rsid w:val="00E87877"/>
    <w:rsid w:val="00E903E8"/>
    <w:rsid w:val="00E90621"/>
    <w:rsid w:val="00E90910"/>
    <w:rsid w:val="00E90C73"/>
    <w:rsid w:val="00E91099"/>
    <w:rsid w:val="00E917BC"/>
    <w:rsid w:val="00E917EB"/>
    <w:rsid w:val="00E92A5B"/>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FBF"/>
    <w:rsid w:val="00EA373F"/>
    <w:rsid w:val="00EA3964"/>
    <w:rsid w:val="00EA3FF0"/>
    <w:rsid w:val="00EA40C3"/>
    <w:rsid w:val="00EA46C8"/>
    <w:rsid w:val="00EA484B"/>
    <w:rsid w:val="00EA4F65"/>
    <w:rsid w:val="00EA58C0"/>
    <w:rsid w:val="00EA5C4A"/>
    <w:rsid w:val="00EA6634"/>
    <w:rsid w:val="00EA67BA"/>
    <w:rsid w:val="00EA702F"/>
    <w:rsid w:val="00EA744B"/>
    <w:rsid w:val="00EA74F0"/>
    <w:rsid w:val="00EA7D8A"/>
    <w:rsid w:val="00EB028F"/>
    <w:rsid w:val="00EB040F"/>
    <w:rsid w:val="00EB161E"/>
    <w:rsid w:val="00EB1FC2"/>
    <w:rsid w:val="00EB1FEB"/>
    <w:rsid w:val="00EB20AD"/>
    <w:rsid w:val="00EB2204"/>
    <w:rsid w:val="00EB3094"/>
    <w:rsid w:val="00EB30AB"/>
    <w:rsid w:val="00EB3293"/>
    <w:rsid w:val="00EB39E2"/>
    <w:rsid w:val="00EB41E7"/>
    <w:rsid w:val="00EB41EB"/>
    <w:rsid w:val="00EB422C"/>
    <w:rsid w:val="00EB446C"/>
    <w:rsid w:val="00EB476F"/>
    <w:rsid w:val="00EB4876"/>
    <w:rsid w:val="00EB4D46"/>
    <w:rsid w:val="00EB4DC3"/>
    <w:rsid w:val="00EB5065"/>
    <w:rsid w:val="00EB5350"/>
    <w:rsid w:val="00EB595A"/>
    <w:rsid w:val="00EB5FE0"/>
    <w:rsid w:val="00EB5FFD"/>
    <w:rsid w:val="00EB61E7"/>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BEF"/>
    <w:rsid w:val="00EC3D0C"/>
    <w:rsid w:val="00EC4692"/>
    <w:rsid w:val="00EC497D"/>
    <w:rsid w:val="00EC4B33"/>
    <w:rsid w:val="00EC4B7F"/>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5D6"/>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6787"/>
    <w:rsid w:val="00EE68AC"/>
    <w:rsid w:val="00EE6959"/>
    <w:rsid w:val="00EE6C4B"/>
    <w:rsid w:val="00EE7035"/>
    <w:rsid w:val="00EE78FA"/>
    <w:rsid w:val="00EE7B2B"/>
    <w:rsid w:val="00EE7B6D"/>
    <w:rsid w:val="00EF0092"/>
    <w:rsid w:val="00EF02E9"/>
    <w:rsid w:val="00EF0439"/>
    <w:rsid w:val="00EF0B07"/>
    <w:rsid w:val="00EF0D31"/>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441"/>
    <w:rsid w:val="00F00579"/>
    <w:rsid w:val="00F011FD"/>
    <w:rsid w:val="00F016E7"/>
    <w:rsid w:val="00F017B8"/>
    <w:rsid w:val="00F01BFC"/>
    <w:rsid w:val="00F02638"/>
    <w:rsid w:val="00F026E9"/>
    <w:rsid w:val="00F02B4E"/>
    <w:rsid w:val="00F02C23"/>
    <w:rsid w:val="00F02C66"/>
    <w:rsid w:val="00F0303F"/>
    <w:rsid w:val="00F031AE"/>
    <w:rsid w:val="00F03340"/>
    <w:rsid w:val="00F03394"/>
    <w:rsid w:val="00F0420E"/>
    <w:rsid w:val="00F042BF"/>
    <w:rsid w:val="00F052FD"/>
    <w:rsid w:val="00F054EE"/>
    <w:rsid w:val="00F057A7"/>
    <w:rsid w:val="00F057CC"/>
    <w:rsid w:val="00F05838"/>
    <w:rsid w:val="00F059C3"/>
    <w:rsid w:val="00F05E0B"/>
    <w:rsid w:val="00F05ECF"/>
    <w:rsid w:val="00F064BD"/>
    <w:rsid w:val="00F064E3"/>
    <w:rsid w:val="00F0666F"/>
    <w:rsid w:val="00F06981"/>
    <w:rsid w:val="00F06E94"/>
    <w:rsid w:val="00F1018B"/>
    <w:rsid w:val="00F104A5"/>
    <w:rsid w:val="00F105BC"/>
    <w:rsid w:val="00F108D6"/>
    <w:rsid w:val="00F10B0F"/>
    <w:rsid w:val="00F10CD9"/>
    <w:rsid w:val="00F10FBD"/>
    <w:rsid w:val="00F11371"/>
    <w:rsid w:val="00F11433"/>
    <w:rsid w:val="00F114D3"/>
    <w:rsid w:val="00F12382"/>
    <w:rsid w:val="00F12568"/>
    <w:rsid w:val="00F132B6"/>
    <w:rsid w:val="00F1341A"/>
    <w:rsid w:val="00F136DC"/>
    <w:rsid w:val="00F13E60"/>
    <w:rsid w:val="00F13FA2"/>
    <w:rsid w:val="00F14950"/>
    <w:rsid w:val="00F1497A"/>
    <w:rsid w:val="00F14A25"/>
    <w:rsid w:val="00F14CE5"/>
    <w:rsid w:val="00F15103"/>
    <w:rsid w:val="00F15440"/>
    <w:rsid w:val="00F15A97"/>
    <w:rsid w:val="00F15AD2"/>
    <w:rsid w:val="00F15F5B"/>
    <w:rsid w:val="00F160B7"/>
    <w:rsid w:val="00F16DEE"/>
    <w:rsid w:val="00F1723B"/>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4F8"/>
    <w:rsid w:val="00F2294C"/>
    <w:rsid w:val="00F22C8D"/>
    <w:rsid w:val="00F23034"/>
    <w:rsid w:val="00F230E2"/>
    <w:rsid w:val="00F23462"/>
    <w:rsid w:val="00F23870"/>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BF9"/>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10EE"/>
    <w:rsid w:val="00F41BB5"/>
    <w:rsid w:val="00F41D10"/>
    <w:rsid w:val="00F41F1D"/>
    <w:rsid w:val="00F42427"/>
    <w:rsid w:val="00F42F0D"/>
    <w:rsid w:val="00F433CD"/>
    <w:rsid w:val="00F43516"/>
    <w:rsid w:val="00F436DF"/>
    <w:rsid w:val="00F43D65"/>
    <w:rsid w:val="00F441EA"/>
    <w:rsid w:val="00F44464"/>
    <w:rsid w:val="00F4516D"/>
    <w:rsid w:val="00F458F9"/>
    <w:rsid w:val="00F45F76"/>
    <w:rsid w:val="00F46520"/>
    <w:rsid w:val="00F467BC"/>
    <w:rsid w:val="00F467C4"/>
    <w:rsid w:val="00F46A80"/>
    <w:rsid w:val="00F46AE7"/>
    <w:rsid w:val="00F47169"/>
    <w:rsid w:val="00F47257"/>
    <w:rsid w:val="00F50730"/>
    <w:rsid w:val="00F50AC0"/>
    <w:rsid w:val="00F50DC8"/>
    <w:rsid w:val="00F51942"/>
    <w:rsid w:val="00F51D3E"/>
    <w:rsid w:val="00F51FD1"/>
    <w:rsid w:val="00F52140"/>
    <w:rsid w:val="00F52483"/>
    <w:rsid w:val="00F52640"/>
    <w:rsid w:val="00F52F81"/>
    <w:rsid w:val="00F53157"/>
    <w:rsid w:val="00F533F8"/>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6141"/>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493"/>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3F61"/>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BF5"/>
    <w:rsid w:val="00FA4C0C"/>
    <w:rsid w:val="00FA5206"/>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E76"/>
    <w:rsid w:val="00FB4FF4"/>
    <w:rsid w:val="00FB5288"/>
    <w:rsid w:val="00FB5576"/>
    <w:rsid w:val="00FB55F3"/>
    <w:rsid w:val="00FB58C9"/>
    <w:rsid w:val="00FB5F7C"/>
    <w:rsid w:val="00FB6C54"/>
    <w:rsid w:val="00FB708E"/>
    <w:rsid w:val="00FB71E8"/>
    <w:rsid w:val="00FB71F3"/>
    <w:rsid w:val="00FB7811"/>
    <w:rsid w:val="00FB79FF"/>
    <w:rsid w:val="00FB7A66"/>
    <w:rsid w:val="00FB7BC1"/>
    <w:rsid w:val="00FC0256"/>
    <w:rsid w:val="00FC08B4"/>
    <w:rsid w:val="00FC0A88"/>
    <w:rsid w:val="00FC0F6A"/>
    <w:rsid w:val="00FC16B8"/>
    <w:rsid w:val="00FC16C7"/>
    <w:rsid w:val="00FC1D00"/>
    <w:rsid w:val="00FC1DC4"/>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D00B0"/>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0E2DC13-90E8-4C26-9CB1-47AF0764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3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DD6309"/>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BB6A15"/>
    <w:pPr>
      <w:keepNext/>
      <w:keepLines/>
      <w:numPr>
        <w:numId w:val="13"/>
      </w:numPr>
      <w:tabs>
        <w:tab w:val="left" w:pos="284"/>
        <w:tab w:val="left" w:pos="1560"/>
        <w:tab w:val="left" w:pos="1980"/>
      </w:tabs>
      <w:autoSpaceDE w:val="0"/>
      <w:autoSpaceDN w:val="0"/>
      <w:adjustRightInd w:val="0"/>
      <w:spacing w:after="120" w:line="276" w:lineRule="auto"/>
    </w:pPr>
    <w:rPr>
      <w:rFonts w:ascii="GHEA Grapalat" w:eastAsia="GHEA Grapalat" w:hAnsi="GHEA Grapalat" w:cs="GHEA Grapalat"/>
      <w:noProof/>
      <w:sz w:val="22"/>
      <w:szCs w:val="22"/>
    </w:rPr>
  </w:style>
  <w:style w:type="character" w:customStyle="1" w:styleId="Char0">
    <w:name w:val="Գծապատկեր Char"/>
    <w:link w:val="a"/>
    <w:rsid w:val="00BB6A15"/>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9"/>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s>
</file>

<file path=word/_rels/footnotes.xml.rels><?xml version="1.0" encoding="UTF-8" standalone="yes"?>
<Relationships xmlns="http://schemas.openxmlformats.org/package/2006/relationships"><Relationship Id="rId3" Type="http://schemas.openxmlformats.org/officeDocument/2006/relationships/hyperlink" Target="http://www.stats.gov.cn/" TargetMode="External"/><Relationship Id="rId2" Type="http://schemas.openxmlformats.org/officeDocument/2006/relationships/hyperlink" Target="https://ec.europa.eu/eurostat/" TargetMode="External"/><Relationship Id="rId1" Type="http://schemas.openxmlformats.org/officeDocument/2006/relationships/hyperlink" Target="https://www.bea.gov/" TargetMode="External"/><Relationship Id="rId6" Type="http://schemas.openxmlformats.org/officeDocument/2006/relationships/hyperlink" Target="https://www.fao.org/worldfoodsituation/foodpricesindex/en/" TargetMode="External"/><Relationship Id="rId5" Type="http://schemas.openxmlformats.org/officeDocument/2006/relationships/hyperlink" Target="https://www.worldbank.org/en/research/commodity-markets" TargetMode="External"/><Relationship Id="rId4" Type="http://schemas.openxmlformats.org/officeDocument/2006/relationships/hyperlink" Target="https://economy.go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1704563393088296"/>
        </c:manualLayout>
      </c:layout>
      <c:lineChart>
        <c:grouping val="standard"/>
        <c:varyColors val="0"/>
        <c:ser>
          <c:idx val="0"/>
          <c:order val="0"/>
          <c:tx>
            <c:strRef>
              <c:f>Sheet1!$B$1</c:f>
              <c:strCache>
                <c:ptCount val="1"/>
                <c:pt idx="0">
                  <c:v>ԱՄՆ</c:v>
                </c:pt>
              </c:strCache>
            </c:strRef>
          </c:tx>
          <c:spPr>
            <a:ln>
              <a:solidFill>
                <a:srgbClr val="F79646"/>
              </a:solidFill>
            </a:ln>
          </c:spPr>
          <c:marker>
            <c:symbol val="none"/>
          </c:marker>
          <c:dLbls>
            <c:dLbl>
              <c:idx val="20"/>
              <c:layout>
                <c:manualLayout>
                  <c:x val="-4.4883470891439771E-3"/>
                  <c:y val="-2.9344918092135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Sheet1!$B$2:$B$22</c:f>
              <c:numCache>
                <c:formatCode>0.0</c:formatCode>
                <c:ptCount val="17"/>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1.6</c:v>
                </c:pt>
              </c:numCache>
            </c:numRef>
          </c:val>
          <c:smooth val="0"/>
          <c:extLst>
            <c:ext xmlns:c16="http://schemas.microsoft.com/office/drawing/2014/chart" uri="{C3380CC4-5D6E-409C-BE32-E72D297353CC}">
              <c16:uniqueId val="{00000001-949C-4A91-9D16-615F7240A272}"/>
            </c:ext>
          </c:extLst>
        </c:ser>
        <c:ser>
          <c:idx val="1"/>
          <c:order val="1"/>
          <c:tx>
            <c:strRef>
              <c:f>Sheet1!$C$1</c:f>
              <c:strCache>
                <c:ptCount val="1"/>
                <c:pt idx="0">
                  <c:v>ԵԳ</c:v>
                </c:pt>
              </c:strCache>
            </c:strRef>
          </c:tx>
          <c:spPr>
            <a:ln>
              <a:solidFill>
                <a:sysClr val="window" lastClr="FFFFFF">
                  <a:lumMod val="50000"/>
                </a:sysClr>
              </a:solidFill>
            </a:ln>
          </c:spPr>
          <c:marker>
            <c:symbol val="none"/>
          </c:marker>
          <c:dLbls>
            <c:dLbl>
              <c:idx val="16"/>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E1-4436-838B-5067EEDC89A1}"/>
                </c:ext>
              </c:extLst>
            </c:dLbl>
            <c:dLbl>
              <c:idx val="20"/>
              <c:layout>
                <c:manualLayout>
                  <c:x val="-4.7544508743635958E-3"/>
                  <c:y val="3.5022897999818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Sheet1!$C$2:$C$22</c:f>
              <c:numCache>
                <c:formatCode>0.0</c:formatCode>
                <c:ptCount val="17"/>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General">
                  <c:v>1.3</c:v>
                </c:pt>
              </c:numCache>
            </c:numRef>
          </c:val>
          <c:smooth val="0"/>
          <c:extLst>
            <c:ext xmlns:c16="http://schemas.microsoft.com/office/drawing/2014/chart" uri="{C3380CC4-5D6E-409C-BE32-E72D297353CC}">
              <c16:uniqueId val="{00000003-949C-4A91-9D16-615F7240A272}"/>
            </c:ext>
          </c:extLst>
        </c:ser>
        <c:ser>
          <c:idx val="2"/>
          <c:order val="2"/>
          <c:tx>
            <c:strRef>
              <c:f>Sheet1!$D$1</c:f>
              <c:strCache>
                <c:ptCount val="1"/>
                <c:pt idx="0">
                  <c:v>Չինաստան</c:v>
                </c:pt>
              </c:strCache>
            </c:strRef>
          </c:tx>
          <c:spPr>
            <a:ln w="19050">
              <a:solidFill>
                <a:srgbClr val="4F81BD"/>
              </a:solidFill>
            </a:ln>
          </c:spPr>
          <c:marker>
            <c:symbol val="none"/>
          </c:marker>
          <c:dLbls>
            <c:dLbl>
              <c:idx val="1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E1-4436-838B-5067EEDC89A1}"/>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Sheet1!$D$2:$D$22</c:f>
              <c:numCache>
                <c:formatCode>0.0</c:formatCode>
                <c:ptCount val="17"/>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numCache>
            </c:numRef>
          </c:val>
          <c:smooth val="0"/>
          <c:extLst>
            <c:ext xmlns:c16="http://schemas.microsoft.com/office/drawing/2014/chart" uri="{C3380CC4-5D6E-409C-BE32-E72D297353CC}">
              <c16:uniqueId val="{00000005-949C-4A91-9D16-615F7240A272}"/>
            </c:ext>
          </c:extLst>
        </c:ser>
        <c:ser>
          <c:idx val="3"/>
          <c:order val="3"/>
          <c:tx>
            <c:strRef>
              <c:f>Sheet1!$E$1</c:f>
              <c:strCache>
                <c:ptCount val="1"/>
                <c:pt idx="0">
                  <c:v>ՌԴ</c:v>
                </c:pt>
              </c:strCache>
            </c:strRef>
          </c:tx>
          <c:spPr>
            <a:ln w="19050">
              <a:solidFill>
                <a:srgbClr val="1F497D"/>
              </a:solidFill>
            </a:ln>
            <a:effectLst/>
          </c:spPr>
          <c:marker>
            <c:symbol val="none"/>
          </c:marker>
          <c:dLbls>
            <c:dLbl>
              <c:idx val="16"/>
              <c:layout>
                <c:manualLayout>
                  <c:x val="-9.9269172625506621E-3"/>
                  <c:y val="1.86420011077589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E1-4436-838B-5067EEDC89A1}"/>
                </c:ext>
              </c:extLst>
            </c:dLbl>
            <c:dLbl>
              <c:idx val="20"/>
              <c:layout>
                <c:manualLayout>
                  <c:x val="-5.969231255731588E-3"/>
                  <c:y val="2.122979455154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9C-4A91-9D16-615F7240A2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Sheet1!$E$2:$E$22</c:f>
              <c:numCache>
                <c:formatCode>0.0</c:formatCode>
                <c:ptCount val="17"/>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-2.2000000000000002</c:v>
                </c:pt>
              </c:numCache>
            </c:numRef>
          </c:val>
          <c:smooth val="0"/>
          <c:extLst>
            <c:ext xmlns:c16="http://schemas.microsoft.com/office/drawing/2014/chart" uri="{C3380CC4-5D6E-409C-BE32-E72D297353CC}">
              <c16:uniqueId val="{00000007-949C-4A91-9D16-615F7240A272}"/>
            </c:ext>
          </c:extLst>
        </c:ser>
        <c:dLbls>
          <c:showLegendKey val="0"/>
          <c:showVal val="0"/>
          <c:showCatName val="0"/>
          <c:showSerName val="0"/>
          <c:showPercent val="0"/>
          <c:showBubbleSize val="0"/>
        </c:dLbls>
        <c:smooth val="0"/>
        <c:axId val="253654144"/>
        <c:axId val="253655680"/>
      </c:lineChart>
      <c:catAx>
        <c:axId val="253654144"/>
        <c:scaling>
          <c:orientation val="minMax"/>
        </c:scaling>
        <c:delete val="0"/>
        <c:axPos val="b"/>
        <c:numFmt formatCode="General" sourceLinked="1"/>
        <c:majorTickMark val="none"/>
        <c:minorTickMark val="none"/>
        <c:tickLblPos val="low"/>
        <c:spPr>
          <a:noFill/>
          <a:ln w="9522"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55680"/>
        <c:crosses val="autoZero"/>
        <c:auto val="1"/>
        <c:lblAlgn val="ctr"/>
        <c:lblOffset val="100"/>
        <c:noMultiLvlLbl val="0"/>
      </c:catAx>
      <c:valAx>
        <c:axId val="253655680"/>
        <c:scaling>
          <c:orientation val="minMax"/>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54144"/>
        <c:crosses val="autoZero"/>
        <c:crossBetween val="between"/>
      </c:valAx>
      <c:spPr>
        <a:noFill/>
        <a:ln w="25393">
          <a:noFill/>
        </a:ln>
      </c:spPr>
    </c:plotArea>
    <c:legend>
      <c:legendPos val="b"/>
      <c:layout>
        <c:manualLayout>
          <c:xMode val="edge"/>
          <c:yMode val="edge"/>
          <c:x val="0.19059585308020244"/>
          <c:y val="0.90472298924499939"/>
          <c:w val="0.51345792619296082"/>
          <c:h val="9.4792288894922624E-2"/>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62679845437243642"/>
        </c:manualLayout>
      </c:layout>
      <c:barChart>
        <c:barDir val="col"/>
        <c:grouping val="clustered"/>
        <c:varyColors val="0"/>
        <c:ser>
          <c:idx val="2"/>
          <c:order val="3"/>
          <c:tx>
            <c:strRef>
              <c:f>Sheet1!$E$1</c:f>
              <c:strCache>
                <c:ptCount val="1"/>
                <c:pt idx="0">
                  <c:v>Պետական հատված</c:v>
                </c:pt>
              </c:strCache>
            </c:strRef>
          </c:tx>
          <c:spPr>
            <a:solidFill>
              <a:srgbClr val="1F497D"/>
            </a:solidFill>
          </c:spPr>
          <c:invertIfNegative val="0"/>
          <c:cat>
            <c:strRef>
              <c:f>Sheet1!$A$16:$A$32</c:f>
              <c:strCache>
                <c:ptCount val="3"/>
                <c:pt idx="0">
                  <c:v>2022-I-III եռ.</c:v>
                </c:pt>
                <c:pt idx="1">
                  <c:v>2022</c:v>
                </c:pt>
                <c:pt idx="2">
                  <c:v>2023-I եռ.</c:v>
                </c:pt>
              </c:strCache>
            </c:strRef>
          </c:cat>
          <c:val>
            <c:numRef>
              <c:f>Sheet1!$E$2:$E$18</c:f>
              <c:numCache>
                <c:formatCode>0.0</c:formatCode>
                <c:ptCount val="17"/>
                <c:pt idx="0">
                  <c:v>4.5000000000000142</c:v>
                </c:pt>
                <c:pt idx="1">
                  <c:v>6.4000000000000057</c:v>
                </c:pt>
                <c:pt idx="2">
                  <c:v>7.5999999999999801</c:v>
                </c:pt>
                <c:pt idx="3">
                  <c:v>9.7087444524368607</c:v>
                </c:pt>
                <c:pt idx="4">
                  <c:v>10.549235967328258</c:v>
                </c:pt>
                <c:pt idx="5">
                  <c:v>8.2896082454932554</c:v>
                </c:pt>
                <c:pt idx="6">
                  <c:v>7.3892611384381013</c:v>
                </c:pt>
                <c:pt idx="7">
                  <c:v>5.3164181135529844</c:v>
                </c:pt>
                <c:pt idx="8">
                  <c:v>2.9019239651216822</c:v>
                </c:pt>
                <c:pt idx="9">
                  <c:v>3.8909904487258018</c:v>
                </c:pt>
                <c:pt idx="10">
                  <c:v>3.5966949030454884</c:v>
                </c:pt>
                <c:pt idx="11">
                  <c:v>5.2330498519945507</c:v>
                </c:pt>
                <c:pt idx="12">
                  <c:v>4.0999999999999943</c:v>
                </c:pt>
                <c:pt idx="13">
                  <c:v>4.5000000000000142</c:v>
                </c:pt>
                <c:pt idx="14">
                  <c:v>4.5</c:v>
                </c:pt>
                <c:pt idx="15">
                  <c:v>4.3343342225992529</c:v>
                </c:pt>
                <c:pt idx="16">
                  <c:v>9.0999999999999943</c:v>
                </c:pt>
              </c:numCache>
            </c:numRef>
          </c:val>
          <c:extLst>
            <c:ext xmlns:c16="http://schemas.microsoft.com/office/drawing/2014/chart" uri="{C3380CC4-5D6E-409C-BE32-E72D297353CC}">
              <c16:uniqueId val="{00000001-FECA-45B2-9752-C9064C942C51}"/>
            </c:ext>
          </c:extLst>
        </c:ser>
        <c:ser>
          <c:idx val="4"/>
          <c:order val="4"/>
          <c:tx>
            <c:strRef>
              <c:f>Sheet1!$F$1</c:f>
              <c:strCache>
                <c:ptCount val="1"/>
                <c:pt idx="0">
                  <c:v>Մասնավոր հատված</c:v>
                </c:pt>
              </c:strCache>
            </c:strRef>
          </c:tx>
          <c:invertIfNegative val="0"/>
          <c:cat>
            <c:strRef>
              <c:f>Sheet1!$A$2:$A$18</c:f>
              <c:strCache>
                <c:ptCount val="17"/>
                <c:pt idx="0">
                  <c:v>2019-I եռ.</c:v>
                </c:pt>
                <c:pt idx="1">
                  <c:v>2019-I կիս.</c:v>
                </c:pt>
                <c:pt idx="2">
                  <c:v>2019-I-III եռ.</c:v>
                </c:pt>
                <c:pt idx="3">
                  <c:v>2019</c:v>
                </c:pt>
                <c:pt idx="4">
                  <c:v>2020-I եռ.</c:v>
                </c:pt>
                <c:pt idx="5">
                  <c:v>2020-I կիս.</c:v>
                </c:pt>
                <c:pt idx="6">
                  <c:v>2020-I-III եռ.</c:v>
                </c:pt>
                <c:pt idx="7">
                  <c:v>2020</c:v>
                </c:pt>
                <c:pt idx="8">
                  <c:v>2021-I եռ.</c:v>
                </c:pt>
                <c:pt idx="9">
                  <c:v>2021-I կիս.</c:v>
                </c:pt>
                <c:pt idx="10">
                  <c:v>2021-I-III եռ.</c:v>
                </c:pt>
                <c:pt idx="11">
                  <c:v>2021</c:v>
                </c:pt>
                <c:pt idx="12">
                  <c:v>2022-I եռ.</c:v>
                </c:pt>
                <c:pt idx="13">
                  <c:v>2022-I կիս.</c:v>
                </c:pt>
                <c:pt idx="14">
                  <c:v>2022-I-III եռ.</c:v>
                </c:pt>
                <c:pt idx="15">
                  <c:v>2022</c:v>
                </c:pt>
                <c:pt idx="16">
                  <c:v>2023-I եռ.</c:v>
                </c:pt>
              </c:strCache>
            </c:strRef>
          </c:cat>
          <c:val>
            <c:numRef>
              <c:f>Sheet1!$F$2:$F$18</c:f>
              <c:numCache>
                <c:formatCode>0.0</c:formatCode>
                <c:ptCount val="17"/>
                <c:pt idx="0">
                  <c:v>3</c:v>
                </c:pt>
                <c:pt idx="1">
                  <c:v>3.8999999999999915</c:v>
                </c:pt>
                <c:pt idx="2">
                  <c:v>4.0999999999999943</c:v>
                </c:pt>
                <c:pt idx="3">
                  <c:v>3.4945559905526409</c:v>
                </c:pt>
                <c:pt idx="4">
                  <c:v>7.7345311552887779</c:v>
                </c:pt>
                <c:pt idx="5">
                  <c:v>3.7892070403885469</c:v>
                </c:pt>
                <c:pt idx="6">
                  <c:v>3.1927053839216484</c:v>
                </c:pt>
                <c:pt idx="7">
                  <c:v>2.9599884084370132</c:v>
                </c:pt>
                <c:pt idx="8">
                  <c:v>1.7486823752919491</c:v>
                </c:pt>
                <c:pt idx="9">
                  <c:v>5.8940087556901517</c:v>
                </c:pt>
                <c:pt idx="10">
                  <c:v>7.2665084623591696</c:v>
                </c:pt>
                <c:pt idx="11">
                  <c:v>8.3985042520254893</c:v>
                </c:pt>
                <c:pt idx="12">
                  <c:v>11.200000000000017</c:v>
                </c:pt>
                <c:pt idx="13">
                  <c:v>13.199999999999989</c:v>
                </c:pt>
                <c:pt idx="14">
                  <c:v>16.199999999999989</c:v>
                </c:pt>
                <c:pt idx="15">
                  <c:v>19.037528863006202</c:v>
                </c:pt>
                <c:pt idx="16">
                  <c:v>26.700000000000003</c:v>
                </c:pt>
              </c:numCache>
            </c:numRef>
          </c:val>
          <c:extLst>
            <c:ext xmlns:c16="http://schemas.microsoft.com/office/drawing/2014/chart" uri="{C3380CC4-5D6E-409C-BE32-E72D297353CC}">
              <c16:uniqueId val="{00000011-FECA-45B2-9752-C9064C942C51}"/>
            </c:ext>
          </c:extLst>
        </c:ser>
        <c:dLbls>
          <c:showLegendKey val="0"/>
          <c:showVal val="0"/>
          <c:showCatName val="0"/>
          <c:showSerName val="0"/>
          <c:showPercent val="0"/>
          <c:showBubbleSize val="0"/>
        </c:dLbls>
        <c:gapWidth val="150"/>
        <c:axId val="293874304"/>
        <c:axId val="293880192"/>
      </c:barChart>
      <c:lineChart>
        <c:grouping val="standard"/>
        <c:varyColors val="0"/>
        <c:ser>
          <c:idx val="3"/>
          <c:order val="0"/>
          <c:tx>
            <c:strRef>
              <c:f>Sheet1!$B$1</c:f>
              <c:strCache>
                <c:ptCount val="1"/>
                <c:pt idx="0">
                  <c:v>ՀՆԱ</c:v>
                </c:pt>
              </c:strCache>
            </c:strRef>
          </c:tx>
          <c:dLbls>
            <c:dLbl>
              <c:idx val="0"/>
              <c:layout>
                <c:manualLayout>
                  <c:x val="-9.2258323305254755E-2"/>
                  <c:y val="2.1384656508954825E-2"/>
                </c:manualLayout>
              </c:layout>
              <c:spPr>
                <a:noFill/>
                <a:ln>
                  <a:noFill/>
                </a:ln>
                <a:effectLst/>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CA-45B2-9752-C9064C942C51}"/>
                </c:ext>
              </c:extLst>
            </c:dLbl>
            <c:dLbl>
              <c:idx val="1"/>
              <c:layout>
                <c:manualLayout>
                  <c:x val="-0.10028078620136383"/>
                  <c:y val="3.2076984763432237E-2"/>
                </c:manualLayout>
              </c:layout>
              <c:spPr>
                <a:noFill/>
                <a:ln>
                  <a:noFill/>
                </a:ln>
                <a:effectLst/>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CA-45B2-9752-C9064C942C51}"/>
                </c:ext>
              </c:extLst>
            </c:dLbl>
            <c:dLbl>
              <c:idx val="2"/>
              <c:layout>
                <c:manualLayout>
                  <c:x val="-0.10028078620136396"/>
                  <c:y val="4.2769313017909649E-2"/>
                </c:manualLayout>
              </c:layout>
              <c:spPr>
                <a:noFill/>
                <a:ln>
                  <a:noFill/>
                </a:ln>
                <a:effectLst/>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CA-45B2-9752-C9064C942C51}"/>
                </c:ext>
              </c:extLst>
            </c:dLbl>
            <c:dLbl>
              <c:idx val="3"/>
              <c:layout>
                <c:manualLayout>
                  <c:x val="-7.2202166064982018E-2"/>
                  <c:y val="-4.8115477145148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CA-45B2-9752-C9064C942C51}"/>
                </c:ext>
              </c:extLst>
            </c:dLbl>
            <c:dLbl>
              <c:idx val="4"/>
              <c:layout>
                <c:manualLayout>
                  <c:x val="-0.10028078620136383"/>
                  <c:y val="-3.2076984763432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CA-45B2-9752-C9064C942C51}"/>
                </c:ext>
              </c:extLst>
            </c:dLbl>
            <c:spPr>
              <a:noFill/>
              <a:ln>
                <a:noFill/>
              </a:ln>
              <a:effectLst/>
            </c:spPr>
            <c:txPr>
              <a:bodyPr wrap="square" lIns="38100" tIns="19050" rIns="38100" bIns="19050" anchor="ctr">
                <a:spAutoFit/>
              </a:bodyPr>
              <a:lstStyle/>
              <a:p>
                <a:pPr>
                  <a:defRPr sz="7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2019-I եռ.</c:v>
                </c:pt>
                <c:pt idx="1">
                  <c:v>2019-I կիս.</c:v>
                </c:pt>
                <c:pt idx="2">
                  <c:v>2019-I-III եռ.</c:v>
                </c:pt>
                <c:pt idx="3">
                  <c:v>2019</c:v>
                </c:pt>
                <c:pt idx="4">
                  <c:v>2020-I եռ.</c:v>
                </c:pt>
                <c:pt idx="5">
                  <c:v>2020-I կիս.</c:v>
                </c:pt>
                <c:pt idx="6">
                  <c:v>2020-I-III եռ.</c:v>
                </c:pt>
                <c:pt idx="7">
                  <c:v>2020</c:v>
                </c:pt>
                <c:pt idx="8">
                  <c:v>2021-I եռ.</c:v>
                </c:pt>
                <c:pt idx="9">
                  <c:v>2021-I կիս.</c:v>
                </c:pt>
                <c:pt idx="10">
                  <c:v>2021-I-III եռ.</c:v>
                </c:pt>
                <c:pt idx="11">
                  <c:v>2021</c:v>
                </c:pt>
                <c:pt idx="12">
                  <c:v>2022-I եռ.</c:v>
                </c:pt>
                <c:pt idx="13">
                  <c:v>2022-I կիս.</c:v>
                </c:pt>
                <c:pt idx="14">
                  <c:v>2022-I-III եռ.</c:v>
                </c:pt>
                <c:pt idx="15">
                  <c:v>2022</c:v>
                </c:pt>
                <c:pt idx="16">
                  <c:v>2023-I եռ.</c:v>
                </c:pt>
              </c:strCache>
            </c:strRef>
          </c:cat>
          <c:val>
            <c:numRef>
              <c:f>Sheet1!$B$16:$B$32</c:f>
            </c:numRef>
          </c:val>
          <c:smooth val="0"/>
          <c:extLst>
            <c:ext xmlns:c16="http://schemas.microsoft.com/office/drawing/2014/chart" uri="{C3380CC4-5D6E-409C-BE32-E72D297353CC}">
              <c16:uniqueId val="{00000007-FECA-45B2-9752-C9064C942C51}"/>
            </c:ext>
          </c:extLst>
        </c:ser>
        <c:dLbls>
          <c:showLegendKey val="0"/>
          <c:showVal val="0"/>
          <c:showCatName val="0"/>
          <c:showSerName val="0"/>
          <c:showPercent val="0"/>
          <c:showBubbleSize val="0"/>
        </c:dLbls>
        <c:marker val="1"/>
        <c:smooth val="0"/>
        <c:axId val="293874304"/>
        <c:axId val="293880192"/>
      </c:lineChart>
      <c:lineChart>
        <c:grouping val="standard"/>
        <c:varyColors val="0"/>
        <c:ser>
          <c:idx val="0"/>
          <c:order val="1"/>
          <c:tx>
            <c:strRef>
              <c:f>Sheet1!$C$1</c:f>
              <c:strCache>
                <c:ptCount val="1"/>
                <c:pt idx="0">
                  <c:v>Ընդամենը (իրական)</c:v>
                </c:pt>
              </c:strCache>
            </c:strRef>
          </c:tx>
          <c:spPr>
            <a:ln w="28575" cap="rnd">
              <a:solidFill>
                <a:schemeClr val="accent1"/>
              </a:solidFill>
              <a:round/>
            </a:ln>
            <a:effectLst/>
          </c:spPr>
          <c:dLbls>
            <c:dLbl>
              <c:idx val="1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ECA-45B2-9752-C9064C942C51}"/>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2019-I եռ.</c:v>
                </c:pt>
                <c:pt idx="1">
                  <c:v>2019-I կիս.</c:v>
                </c:pt>
                <c:pt idx="2">
                  <c:v>2019-I-III եռ.</c:v>
                </c:pt>
                <c:pt idx="3">
                  <c:v>2019</c:v>
                </c:pt>
                <c:pt idx="4">
                  <c:v>2020-I եռ.</c:v>
                </c:pt>
                <c:pt idx="5">
                  <c:v>2020-I կիս.</c:v>
                </c:pt>
                <c:pt idx="6">
                  <c:v>2020-I-III եռ.</c:v>
                </c:pt>
                <c:pt idx="7">
                  <c:v>2020</c:v>
                </c:pt>
                <c:pt idx="8">
                  <c:v>2021-I եռ.</c:v>
                </c:pt>
                <c:pt idx="9">
                  <c:v>2021-I կիս.</c:v>
                </c:pt>
                <c:pt idx="10">
                  <c:v>2021-I-III եռ.</c:v>
                </c:pt>
                <c:pt idx="11">
                  <c:v>2021</c:v>
                </c:pt>
                <c:pt idx="12">
                  <c:v>2022-I եռ.</c:v>
                </c:pt>
                <c:pt idx="13">
                  <c:v>2022-I կիս.</c:v>
                </c:pt>
                <c:pt idx="14">
                  <c:v>2022-I-III եռ.</c:v>
                </c:pt>
                <c:pt idx="15">
                  <c:v>2022</c:v>
                </c:pt>
                <c:pt idx="16">
                  <c:v>2023-I եռ.</c:v>
                </c:pt>
              </c:strCache>
            </c:strRef>
          </c:cat>
          <c:val>
            <c:numRef>
              <c:f>Sheet1!$C$2:$C$18</c:f>
              <c:numCache>
                <c:formatCode>0.0</c:formatCode>
                <c:ptCount val="17"/>
                <c:pt idx="0">
                  <c:v>2.7360947783246417</c:v>
                </c:pt>
                <c:pt idx="1">
                  <c:v>3.5294117647058982</c:v>
                </c:pt>
                <c:pt idx="2">
                  <c:v>4.2322834645669474</c:v>
                </c:pt>
                <c:pt idx="3">
                  <c:v>4.4771792422575629</c:v>
                </c:pt>
                <c:pt idx="4">
                  <c:v>9.3596168989935791</c:v>
                </c:pt>
                <c:pt idx="5">
                  <c:v>4.8693255363842383</c:v>
                </c:pt>
                <c:pt idx="6">
                  <c:v>3.7440577129244588</c:v>
                </c:pt>
                <c:pt idx="7">
                  <c:v>2.6124394528007855</c:v>
                </c:pt>
                <c:pt idx="8">
                  <c:v>-2.9437071469907323</c:v>
                </c:pt>
                <c:pt idx="9">
                  <c:v>-0.29387735169029838</c:v>
                </c:pt>
                <c:pt idx="10">
                  <c:v>-0.30607352015691447</c:v>
                </c:pt>
                <c:pt idx="11">
                  <c:v>0.34483750456961104</c:v>
                </c:pt>
                <c:pt idx="12">
                  <c:v>2.4346780252902676</c:v>
                </c:pt>
                <c:pt idx="13">
                  <c:v>2.9426608849344404</c:v>
                </c:pt>
                <c:pt idx="14">
                  <c:v>4.4551420845944563</c:v>
                </c:pt>
                <c:pt idx="15">
                  <c:v>6.2686838785199086</c:v>
                </c:pt>
                <c:pt idx="16">
                  <c:v>14.645522388059689</c:v>
                </c:pt>
              </c:numCache>
            </c:numRef>
          </c:val>
          <c:smooth val="0"/>
          <c:extLst>
            <c:ext xmlns:c16="http://schemas.microsoft.com/office/drawing/2014/chart" uri="{C3380CC4-5D6E-409C-BE32-E72D297353CC}">
              <c16:uniqueId val="{00000010-FECA-45B2-9752-C9064C942C51}"/>
            </c:ext>
          </c:extLst>
        </c:ser>
        <c:ser>
          <c:idx val="1"/>
          <c:order val="2"/>
          <c:tx>
            <c:strRef>
              <c:f>Sheet1!$D$1</c:f>
              <c:strCache>
                <c:ptCount val="1"/>
                <c:pt idx="0">
                  <c:v>Ընդամենը (անվանական)</c:v>
                </c:pt>
              </c:strCache>
            </c:strRef>
          </c:tx>
          <c:spPr>
            <a:effectLst/>
          </c:spPr>
          <c:dLbls>
            <c:dLbl>
              <c:idx val="1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ECA-45B2-9752-C9064C942C51}"/>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Sheet1!$A$16:$A$32</c:f>
              <c:strCache>
                <c:ptCount val="3"/>
                <c:pt idx="0">
                  <c:v>2022-I-III եռ.</c:v>
                </c:pt>
                <c:pt idx="1">
                  <c:v>2022</c:v>
                </c:pt>
                <c:pt idx="2">
                  <c:v>2023-I եռ.</c:v>
                </c:pt>
              </c:strCache>
            </c:strRef>
          </c:cat>
          <c:val>
            <c:numRef>
              <c:f>Sheet1!$D$2:$D$18</c:f>
              <c:numCache>
                <c:formatCode>0.0</c:formatCode>
                <c:ptCount val="17"/>
                <c:pt idx="0">
                  <c:v>4.2999999999999972</c:v>
                </c:pt>
                <c:pt idx="1">
                  <c:v>5.6000000000000085</c:v>
                </c:pt>
                <c:pt idx="2">
                  <c:v>5.9000000000000199</c:v>
                </c:pt>
                <c:pt idx="3">
                  <c:v>5.9852515418578918</c:v>
                </c:pt>
                <c:pt idx="4">
                  <c:v>9.2222127491085217</c:v>
                </c:pt>
                <c:pt idx="5">
                  <c:v>5.4441779427071566</c:v>
                </c:pt>
                <c:pt idx="6">
                  <c:v>4.6632182363742061</c:v>
                </c:pt>
                <c:pt idx="7">
                  <c:v>3.8555232574053093</c:v>
                </c:pt>
                <c:pt idx="8">
                  <c:v>2.1112954144621767</c:v>
                </c:pt>
                <c:pt idx="9">
                  <c:v>5.3878470977021493</c:v>
                </c:pt>
                <c:pt idx="10">
                  <c:v>6.3302586250208321</c:v>
                </c:pt>
                <c:pt idx="11">
                  <c:v>7.5544498091884691</c:v>
                </c:pt>
                <c:pt idx="12">
                  <c:v>9.6000000000000085</c:v>
                </c:pt>
                <c:pt idx="13">
                  <c:v>11.299999999999997</c:v>
                </c:pt>
                <c:pt idx="14">
                  <c:v>13.400000000000006</c:v>
                </c:pt>
                <c:pt idx="15">
                  <c:v>15.45126636869756</c:v>
                </c:pt>
                <c:pt idx="16">
                  <c:v>22.900000000000006</c:v>
                </c:pt>
              </c:numCache>
            </c:numRef>
          </c:val>
          <c:smooth val="0"/>
          <c:extLst>
            <c:ext xmlns:c16="http://schemas.microsoft.com/office/drawing/2014/chart" uri="{C3380CC4-5D6E-409C-BE32-E72D297353CC}">
              <c16:uniqueId val="{00000000-FECA-45B2-9752-C9064C942C51}"/>
            </c:ext>
          </c:extLst>
        </c:ser>
        <c:dLbls>
          <c:showLegendKey val="0"/>
          <c:showVal val="0"/>
          <c:showCatName val="0"/>
          <c:showSerName val="0"/>
          <c:showPercent val="0"/>
          <c:showBubbleSize val="0"/>
        </c:dLbls>
        <c:marker val="1"/>
        <c:smooth val="0"/>
        <c:axId val="293874304"/>
        <c:axId val="293880192"/>
      </c:lineChart>
      <c:catAx>
        <c:axId val="293874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293880192"/>
        <c:crosses val="autoZero"/>
        <c:auto val="1"/>
        <c:lblAlgn val="ctr"/>
        <c:lblOffset val="0"/>
        <c:noMultiLvlLbl val="0"/>
      </c:catAx>
      <c:valAx>
        <c:axId val="293880192"/>
        <c:scaling>
          <c:orientation val="minMax"/>
          <c:max val="28"/>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293874304"/>
        <c:crosses val="autoZero"/>
        <c:crossBetween val="between"/>
        <c:majorUnit val="3"/>
      </c:valAx>
      <c:spPr>
        <a:solidFill>
          <a:schemeClr val="bg1"/>
        </a:solidFill>
        <a:ln>
          <a:noFill/>
        </a:ln>
        <a:effectLst/>
      </c:spPr>
    </c:plotArea>
    <c:legend>
      <c:legendPos val="b"/>
      <c:layout>
        <c:manualLayout>
          <c:xMode val="edge"/>
          <c:yMode val="edge"/>
          <c:x val="2.5669635345349138E-2"/>
          <c:y val="0.86752926888016635"/>
          <c:w val="0.95243627835531863"/>
          <c:h val="0.10039217415789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3"/>
          <c:order val="3"/>
          <c:tx>
            <c:strRef>
              <c:f>Sheet1!$E$1</c:f>
              <c:strCache>
                <c:ptCount val="1"/>
                <c:pt idx="0">
                  <c:v>Column1</c:v>
                </c:pt>
              </c:strCache>
            </c:strRef>
          </c:tx>
          <c:spPr>
            <a:solidFill>
              <a:schemeClr val="accent4"/>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General</c:formatCode>
                <c:ptCount val="20"/>
                <c:pt idx="17">
                  <c:v>0</c:v>
                </c:pt>
                <c:pt idx="18">
                  <c:v>0</c:v>
                </c:pt>
                <c:pt idx="19">
                  <c:v>0</c:v>
                </c:pt>
              </c:numCache>
            </c:numRef>
          </c:val>
          <c:extLst>
            <c:ext xmlns:c16="http://schemas.microsoft.com/office/drawing/2014/chart" uri="{C3380CC4-5D6E-409C-BE32-E72D297353CC}">
              <c16:uniqueId val="{00000000-DACC-4742-BAB4-3A54F7647F09}"/>
            </c:ext>
          </c:extLst>
        </c:ser>
        <c:ser>
          <c:idx val="4"/>
          <c:order val="4"/>
          <c:tx>
            <c:strRef>
              <c:f>Sheet1!$F$1</c:f>
              <c:strCache>
                <c:ptCount val="1"/>
                <c:pt idx="0">
                  <c:v>Column2</c:v>
                </c:pt>
              </c:strCache>
            </c:strRef>
          </c:tx>
          <c:spPr>
            <a:solidFill>
              <a:schemeClr val="accent1">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General</c:formatCode>
                <c:ptCount val="20"/>
                <c:pt idx="17">
                  <c:v>12</c:v>
                </c:pt>
                <c:pt idx="18">
                  <c:v>12</c:v>
                </c:pt>
                <c:pt idx="19">
                  <c:v>12</c:v>
                </c:pt>
              </c:numCache>
            </c:numRef>
          </c:val>
          <c:extLst>
            <c:ext xmlns:c16="http://schemas.microsoft.com/office/drawing/2014/chart" uri="{C3380CC4-5D6E-409C-BE32-E72D297353CC}">
              <c16:uniqueId val="{00000001-DACC-4742-BAB4-3A54F7647F09}"/>
            </c:ext>
          </c:extLst>
        </c:ser>
        <c:dLbls>
          <c:showLegendKey val="0"/>
          <c:showVal val="0"/>
          <c:showCatName val="0"/>
          <c:showSerName val="0"/>
          <c:showPercent val="0"/>
          <c:showBubbleSize val="0"/>
        </c:dLbls>
        <c:axId val="293905920"/>
        <c:axId val="293907456"/>
      </c:areaChart>
      <c:lineChart>
        <c:grouping val="standard"/>
        <c:varyColors val="0"/>
        <c:ser>
          <c:idx val="0"/>
          <c:order val="0"/>
          <c:tx>
            <c:strRef>
              <c:f>Sheet1!$B$1</c:f>
              <c:strCache>
                <c:ptCount val="1"/>
                <c:pt idx="0">
                  <c:v>Բնականոն գնաճ, %</c:v>
                </c:pt>
              </c:strCache>
            </c:strRef>
          </c:tx>
          <c:spPr>
            <a:ln w="28575" cap="rnd">
              <a:solidFill>
                <a:schemeClr val="accent1"/>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4.9449250245676524</c:v>
                </c:pt>
                <c:pt idx="1">
                  <c:v>4.1469572523281499</c:v>
                </c:pt>
                <c:pt idx="2">
                  <c:v>3.6702807488898941</c:v>
                </c:pt>
                <c:pt idx="3">
                  <c:v>2.6065274261081868</c:v>
                </c:pt>
                <c:pt idx="4">
                  <c:v>1.2771887180059309</c:v>
                </c:pt>
                <c:pt idx="5">
                  <c:v>1.4765728279502213</c:v>
                </c:pt>
                <c:pt idx="6">
                  <c:v>1.1059473147374064</c:v>
                </c:pt>
                <c:pt idx="7">
                  <c:v>3.6204833935339735</c:v>
                </c:pt>
                <c:pt idx="8">
                  <c:v>6.6300845552899972</c:v>
                </c:pt>
                <c:pt idx="9">
                  <c:v>7.8323845176300608</c:v>
                </c:pt>
                <c:pt idx="10">
                  <c:v>7.9880734583744442</c:v>
                </c:pt>
                <c:pt idx="11">
                  <c:v>7.2509011281681808</c:v>
                </c:pt>
                <c:pt idx="12">
                  <c:v>6.9671454857929405</c:v>
                </c:pt>
                <c:pt idx="13">
                  <c:v>9.4404331247470736</c:v>
                </c:pt>
                <c:pt idx="14">
                  <c:v>10.540276376631112</c:v>
                </c:pt>
                <c:pt idx="15">
                  <c:v>9.4793414473783173</c:v>
                </c:pt>
                <c:pt idx="17">
                  <c:v>9.0991561824239966</c:v>
                </c:pt>
                <c:pt idx="18">
                  <c:v>8.3569861398929959</c:v>
                </c:pt>
                <c:pt idx="19">
                  <c:v>6.4066571555730008</c:v>
                </c:pt>
              </c:numCache>
            </c:numRef>
          </c:val>
          <c:smooth val="0"/>
          <c:extLst>
            <c:ext xmlns:c16="http://schemas.microsoft.com/office/drawing/2014/chart" uri="{C3380CC4-5D6E-409C-BE32-E72D297353CC}">
              <c16:uniqueId val="{00000002-DACC-4742-BAB4-3A54F7647F09}"/>
            </c:ext>
          </c:extLst>
        </c:ser>
        <c:ser>
          <c:idx val="1"/>
          <c:order val="1"/>
          <c:tx>
            <c:strRef>
              <c:f>Sheet1!$C$1</c:f>
              <c:strCache>
                <c:ptCount val="1"/>
                <c:pt idx="0">
                  <c:v>12 ամսյա գնաճ, %</c:v>
                </c:pt>
              </c:strCache>
            </c:strRef>
          </c:tx>
          <c:spPr>
            <a:ln w="28575" cap="rnd">
              <a:solidFill>
                <a:schemeClr val="accent2"/>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3.725703037710403</c:v>
                </c:pt>
                <c:pt idx="1">
                  <c:v>0.87704172905340272</c:v>
                </c:pt>
                <c:pt idx="2">
                  <c:v>3.524709883857156</c:v>
                </c:pt>
                <c:pt idx="3">
                  <c:v>1.7912209026326593</c:v>
                </c:pt>
                <c:pt idx="4">
                  <c:v>1.8811658309777073</c:v>
                </c:pt>
                <c:pt idx="5">
                  <c:v>2.5</c:v>
                </c:pt>
                <c:pt idx="6">
                  <c:v>0.5</c:v>
                </c:pt>
                <c:pt idx="7">
                  <c:v>3.6638246566360237</c:v>
                </c:pt>
                <c:pt idx="8">
                  <c:v>5.7810093225161552</c:v>
                </c:pt>
                <c:pt idx="9">
                  <c:v>6.5046445234588646</c:v>
                </c:pt>
                <c:pt idx="10">
                  <c:v>8.8886539553763413</c:v>
                </c:pt>
                <c:pt idx="11">
                  <c:v>7.6754534627573037</c:v>
                </c:pt>
                <c:pt idx="12">
                  <c:v>7.3617969746003382</c:v>
                </c:pt>
                <c:pt idx="13">
                  <c:v>10.274467693331786</c:v>
                </c:pt>
                <c:pt idx="14">
                  <c:v>9.9151144159470022</c:v>
                </c:pt>
                <c:pt idx="15">
                  <c:v>8.3026886372339987</c:v>
                </c:pt>
                <c:pt idx="17">
                  <c:v>8.0513101873760036</c:v>
                </c:pt>
                <c:pt idx="18">
                  <c:v>8.0504413480060038</c:v>
                </c:pt>
                <c:pt idx="19">
                  <c:v>5.4496798492630063</c:v>
                </c:pt>
              </c:numCache>
            </c:numRef>
          </c:val>
          <c:smooth val="0"/>
          <c:extLst>
            <c:ext xmlns:c16="http://schemas.microsoft.com/office/drawing/2014/chart" uri="{C3380CC4-5D6E-409C-BE32-E72D297353CC}">
              <c16:uniqueId val="{00000003-DACC-4742-BAB4-3A54F7647F09}"/>
            </c:ext>
          </c:extLst>
        </c:ser>
        <c:ser>
          <c:idx val="2"/>
          <c:order val="2"/>
          <c:tx>
            <c:strRef>
              <c:f>Sheet1!$D$1</c:f>
              <c:strCache>
                <c:ptCount val="1"/>
                <c:pt idx="0">
                  <c:v>Վերաֆինանսավորման տոկոսադրույք, %</c:v>
                </c:pt>
              </c:strCache>
            </c:strRef>
          </c:tx>
          <c:spPr>
            <a:ln w="22225" cap="rnd">
              <a:solidFill>
                <a:schemeClr val="tx1"/>
              </a:solidFill>
              <a:prstDash val="solid"/>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0.00</c:formatCode>
                <c:ptCount val="20"/>
                <c:pt idx="0">
                  <c:v>6</c:v>
                </c:pt>
                <c:pt idx="1">
                  <c:v>6</c:v>
                </c:pt>
                <c:pt idx="2">
                  <c:v>6</c:v>
                </c:pt>
                <c:pt idx="3">
                  <c:v>6</c:v>
                </c:pt>
                <c:pt idx="4">
                  <c:v>5.75</c:v>
                </c:pt>
                <c:pt idx="5">
                  <c:v>5.75</c:v>
                </c:pt>
                <c:pt idx="6">
                  <c:v>5.5</c:v>
                </c:pt>
                <c:pt idx="7">
                  <c:v>5.25</c:v>
                </c:pt>
                <c:pt idx="8">
                  <c:v>5.5</c:v>
                </c:pt>
                <c:pt idx="9">
                  <c:v>6.5</c:v>
                </c:pt>
                <c:pt idx="10">
                  <c:v>7.25</c:v>
                </c:pt>
                <c:pt idx="11">
                  <c:v>7.75</c:v>
                </c:pt>
                <c:pt idx="12">
                  <c:v>9.25</c:v>
                </c:pt>
                <c:pt idx="13">
                  <c:v>9.25</c:v>
                </c:pt>
                <c:pt idx="14">
                  <c:v>10</c:v>
                </c:pt>
                <c:pt idx="15">
                  <c:v>10.75</c:v>
                </c:pt>
                <c:pt idx="17">
                  <c:v>10.75</c:v>
                </c:pt>
                <c:pt idx="18">
                  <c:v>10.75</c:v>
                </c:pt>
                <c:pt idx="19">
                  <c:v>10.75</c:v>
                </c:pt>
              </c:numCache>
            </c:numRef>
          </c:val>
          <c:smooth val="0"/>
          <c:extLst>
            <c:ext xmlns:c16="http://schemas.microsoft.com/office/drawing/2014/chart" uri="{C3380CC4-5D6E-409C-BE32-E72D297353CC}">
              <c16:uniqueId val="{00000004-DACC-4742-BAB4-3A54F7647F09}"/>
            </c:ext>
          </c:extLst>
        </c:ser>
        <c:dLbls>
          <c:showLegendKey val="0"/>
          <c:showVal val="0"/>
          <c:showCatName val="0"/>
          <c:showSerName val="0"/>
          <c:showPercent val="0"/>
          <c:showBubbleSize val="0"/>
        </c:dLbls>
        <c:marker val="1"/>
        <c:smooth val="0"/>
        <c:axId val="293905920"/>
        <c:axId val="293907456"/>
      </c:lineChart>
      <c:catAx>
        <c:axId val="2939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907456"/>
        <c:crosses val="autoZero"/>
        <c:auto val="1"/>
        <c:lblAlgn val="ctr"/>
        <c:lblOffset val="100"/>
        <c:noMultiLvlLbl val="0"/>
      </c:catAx>
      <c:valAx>
        <c:axId val="2939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905920"/>
        <c:crosses val="autoZero"/>
        <c:crossBetween val="between"/>
      </c:valAx>
      <c:spPr>
        <a:noFill/>
        <a:ln>
          <a:noFill/>
        </a:ln>
        <a:effectLst/>
      </c:spPr>
    </c:plotArea>
    <c:legend>
      <c:legendPos val="b"/>
      <c:legendEntry>
        <c:idx val="0"/>
        <c:delete val="1"/>
      </c:legendEntry>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12</a:t>
            </a:r>
            <a:r>
              <a:rPr lang="hy-AM" sz="1100" b="0"/>
              <a:t> ամսյա գնաճը</a:t>
            </a:r>
            <a:r>
              <a:rPr lang="en-US" sz="1100" b="0"/>
              <a:t>,</a:t>
            </a:r>
            <a:r>
              <a:rPr lang="en-US" sz="1100" b="0" baseline="0"/>
              <a:t> %</a:t>
            </a:r>
            <a:endParaRPr lang="en-US" sz="1100" b="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Sheet1!$C$2:$C$64</c:f>
              <c:numCache>
                <c:formatCode>0.0</c:formatCode>
                <c:ptCount val="13"/>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1.8974039999999999</c:v>
                </c:pt>
              </c:numCache>
            </c:numRef>
          </c:val>
          <c:extLst>
            <c:ext xmlns:c16="http://schemas.microsoft.com/office/drawing/2014/chart" uri="{C3380CC4-5D6E-409C-BE32-E72D297353CC}">
              <c16:uniqueId val="{00000000-A7AF-440B-BD95-DB9D67527ABD}"/>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Sheet1!$D$2:$D$64</c:f>
              <c:numCache>
                <c:formatCode>0.0</c:formatCode>
                <c:ptCount val="13"/>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0.36990610000000002</c:v>
                </c:pt>
              </c:numCache>
            </c:numRef>
          </c:val>
          <c:extLst>
            <c:ext xmlns:c16="http://schemas.microsoft.com/office/drawing/2014/chart" uri="{C3380CC4-5D6E-409C-BE32-E72D297353CC}">
              <c16:uniqueId val="{00000001-A7AF-440B-BD95-DB9D67527ABD}"/>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Sheet1!$E$2:$E$64</c:f>
              <c:numCache>
                <c:formatCode>0.0</c:formatCode>
                <c:ptCount val="13"/>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1.02166</c:v>
                </c:pt>
              </c:numCache>
            </c:numRef>
          </c:val>
          <c:extLst>
            <c:ext xmlns:c16="http://schemas.microsoft.com/office/drawing/2014/chart" uri="{C3380CC4-5D6E-409C-BE32-E72D297353CC}">
              <c16:uniqueId val="{00000002-A7AF-440B-BD95-DB9D67527ABD}"/>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Sheet1!$F$2:$F$64</c:f>
              <c:numCache>
                <c:formatCode>0.0</c:formatCode>
                <c:ptCount val="13"/>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2.1678000000000002</c:v>
                </c:pt>
              </c:numCache>
            </c:numRef>
          </c:val>
          <c:extLst>
            <c:ext xmlns:c16="http://schemas.microsoft.com/office/drawing/2014/chart" uri="{C3380CC4-5D6E-409C-BE32-E72D297353CC}">
              <c16:uniqueId val="{00000003-A7AF-440B-BD95-DB9D67527ABD}"/>
            </c:ext>
          </c:extLst>
        </c:ser>
        <c:dLbls>
          <c:showLegendKey val="0"/>
          <c:showVal val="0"/>
          <c:showCatName val="0"/>
          <c:showSerName val="0"/>
          <c:showPercent val="0"/>
          <c:showBubbleSize val="0"/>
        </c:dLbls>
        <c:gapWidth val="100"/>
        <c:overlap val="100"/>
        <c:axId val="294290944"/>
        <c:axId val="29429248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c:ext xmlns:c16="http://schemas.microsoft.com/office/drawing/2014/chart" uri="{C3380CC4-5D6E-409C-BE32-E72D297353CC}">
                <c16:uniqueId val="{00000004-A7AF-440B-BD95-DB9D67527ABD}"/>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A7AF-440B-BD95-DB9D67527ABD}"/>
              </c:ext>
            </c:extLst>
          </c:dPt>
          <c:dLbls>
            <c:dLbl>
              <c:idx val="4"/>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7AF-440B-BD95-DB9D67527ABD}"/>
                </c:ext>
              </c:extLst>
            </c:dLbl>
            <c:dLbl>
              <c:idx val="6"/>
              <c:layout>
                <c:manualLayout>
                  <c:x val="-6.5061281754195219E-2"/>
                  <c:y val="-6.01820797504914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7AF-440B-BD95-DB9D67527ABD}"/>
                </c:ext>
              </c:extLst>
            </c:dLbl>
            <c:dLbl>
              <c:idx val="9"/>
              <c:layout>
                <c:manualLayout>
                  <c:x val="-9.213213213213213E-2"/>
                  <c:y val="-7.64853556485355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7AF-440B-BD95-DB9D67527ABD}"/>
                </c:ext>
              </c:extLst>
            </c:dLbl>
            <c:dLbl>
              <c:idx val="10"/>
              <c:spPr>
                <a:noFill/>
                <a:ln>
                  <a:noFill/>
                </a:ln>
                <a:effectLst/>
              </c:spPr>
              <c:txPr>
                <a:bodyPr wrap="square" lIns="38100" tIns="19050" rIns="38100" bIns="19050" anchor="ctr">
                  <a:noAutofit/>
                </a:bodyPr>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C14-4A91-899B-BFF9662BC73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Sheet1!$B$2:$B$64</c:f>
              <c:numCache>
                <c:formatCode>0.0</c:formatCode>
                <c:ptCount val="13"/>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numCache>
            </c:numRef>
          </c:val>
          <c:smooth val="0"/>
          <c:extLst>
            <c:ext xmlns:c16="http://schemas.microsoft.com/office/drawing/2014/chart" uri="{C3380CC4-5D6E-409C-BE32-E72D297353CC}">
              <c16:uniqueId val="{0000000A-A7AF-440B-BD95-DB9D67527ABD}"/>
            </c:ext>
          </c:extLst>
        </c:ser>
        <c:dLbls>
          <c:showLegendKey val="0"/>
          <c:showVal val="0"/>
          <c:showCatName val="0"/>
          <c:showSerName val="0"/>
          <c:showPercent val="0"/>
          <c:showBubbleSize val="0"/>
        </c:dLbls>
        <c:marker val="1"/>
        <c:smooth val="0"/>
        <c:axId val="294290944"/>
        <c:axId val="294292480"/>
      </c:lineChart>
      <c:catAx>
        <c:axId val="29429094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94292480"/>
        <c:crosses val="autoZero"/>
        <c:auto val="1"/>
        <c:lblAlgn val="ctr"/>
        <c:lblOffset val="100"/>
        <c:noMultiLvlLbl val="0"/>
      </c:catAx>
      <c:valAx>
        <c:axId val="294292480"/>
        <c:scaling>
          <c:orientation val="minMax"/>
        </c:scaling>
        <c:delete val="0"/>
        <c:axPos val="l"/>
        <c:majorGridlines>
          <c:spPr>
            <a:ln w="6350"/>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9429094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Մ</a:t>
            </a:r>
            <a:r>
              <a:rPr lang="hy-AM" sz="1100" b="0"/>
              <a:t>իջին գնաճը (կուտակային)</a:t>
            </a:r>
            <a:r>
              <a:rPr lang="en-US" sz="1100" b="0"/>
              <a:t>,</a:t>
            </a:r>
            <a:r>
              <a:rPr lang="en-US" sz="1100" b="0" baseline="0"/>
              <a:t> %</a:t>
            </a:r>
            <a:endParaRPr lang="en-US" sz="1100" b="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4797878298685471"/>
          <c:w val="0.87317931679248439"/>
          <c:h val="0.5023235484685753"/>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Sheet1!$C$2:$C$64</c:f>
              <c:numCache>
                <c:formatCode>0.0</c:formatCode>
                <c:ptCount val="13"/>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3.0135239999999999</c:v>
                </c:pt>
              </c:numCache>
            </c:numRef>
          </c:val>
          <c:extLst>
            <c:ext xmlns:c16="http://schemas.microsoft.com/office/drawing/2014/chart" uri="{C3380CC4-5D6E-409C-BE32-E72D297353CC}">
              <c16:uniqueId val="{00000000-655F-4795-98F6-3AE7B2BAE52B}"/>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Sheet1!$D$2:$D$64</c:f>
              <c:numCache>
                <c:formatCode>0.0</c:formatCode>
                <c:ptCount val="13"/>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0.40555969999999997</c:v>
                </c:pt>
              </c:numCache>
            </c:numRef>
          </c:val>
          <c:extLst>
            <c:ext xmlns:c16="http://schemas.microsoft.com/office/drawing/2014/chart" uri="{C3380CC4-5D6E-409C-BE32-E72D297353CC}">
              <c16:uniqueId val="{00000001-655F-4795-98F6-3AE7B2BAE52B}"/>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Sheet1!$E$2:$E$64</c:f>
              <c:numCache>
                <c:formatCode>0.0</c:formatCode>
                <c:ptCount val="13"/>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1.1993400000000001</c:v>
                </c:pt>
              </c:numCache>
            </c:numRef>
          </c:val>
          <c:extLst>
            <c:ext xmlns:c16="http://schemas.microsoft.com/office/drawing/2014/chart" uri="{C3380CC4-5D6E-409C-BE32-E72D297353CC}">
              <c16:uniqueId val="{00000002-655F-4795-98F6-3AE7B2BAE52B}"/>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Sheet1!$F$2:$F$64</c:f>
              <c:numCache>
                <c:formatCode>0.0</c:formatCode>
                <c:ptCount val="13"/>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2.4929700000000001</c:v>
                </c:pt>
              </c:numCache>
            </c:numRef>
          </c:val>
          <c:extLst>
            <c:ext xmlns:c16="http://schemas.microsoft.com/office/drawing/2014/chart" uri="{C3380CC4-5D6E-409C-BE32-E72D297353CC}">
              <c16:uniqueId val="{00000003-655F-4795-98F6-3AE7B2BAE52B}"/>
            </c:ext>
          </c:extLst>
        </c:ser>
        <c:dLbls>
          <c:showLegendKey val="0"/>
          <c:showVal val="0"/>
          <c:showCatName val="0"/>
          <c:showSerName val="0"/>
          <c:showPercent val="0"/>
          <c:showBubbleSize val="0"/>
        </c:dLbls>
        <c:gapWidth val="100"/>
        <c:overlap val="100"/>
        <c:axId val="294017280"/>
        <c:axId val="29404364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655F-4795-98F6-3AE7B2BAE52B}"/>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Sheet1!$A$2:$A$64</c:f>
              <c:strCache>
                <c:ptCount val="13"/>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pt idx="12">
                  <c:v>2023 I եռ.</c:v>
                </c:pt>
              </c:strCache>
            </c:strRef>
          </c:cat>
          <c:val>
            <c:numRef>
              <c:f>Sheet1!$B$2:$B$64</c:f>
              <c:numCache>
                <c:formatCode>0.0</c:formatCode>
                <c:ptCount val="13"/>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numCache>
            </c:numRef>
          </c:val>
          <c:smooth val="0"/>
          <c:extLst>
            <c:ext xmlns:c16="http://schemas.microsoft.com/office/drawing/2014/chart" uri="{C3380CC4-5D6E-409C-BE32-E72D297353CC}">
              <c16:uniqueId val="{00000005-655F-4795-98F6-3AE7B2BAE52B}"/>
            </c:ext>
          </c:extLst>
        </c:ser>
        <c:dLbls>
          <c:showLegendKey val="0"/>
          <c:showVal val="0"/>
          <c:showCatName val="0"/>
          <c:showSerName val="0"/>
          <c:showPercent val="0"/>
          <c:showBubbleSize val="0"/>
        </c:dLbls>
        <c:marker val="1"/>
        <c:smooth val="0"/>
        <c:axId val="294017280"/>
        <c:axId val="294043648"/>
      </c:lineChart>
      <c:catAx>
        <c:axId val="294017280"/>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94043648"/>
        <c:crosses val="autoZero"/>
        <c:auto val="1"/>
        <c:lblAlgn val="ctr"/>
        <c:lblOffset val="100"/>
        <c:noMultiLvlLbl val="0"/>
      </c:catAx>
      <c:valAx>
        <c:axId val="294043648"/>
        <c:scaling>
          <c:orientation val="minMax"/>
          <c:max val="10"/>
        </c:scaling>
        <c:delete val="0"/>
        <c:axPos val="l"/>
        <c:majorGridlines>
          <c:spPr>
            <a:ln w="3175"/>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94017280"/>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E6AB-433E-B868-BE0912415B3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E6AB-433E-B868-BE0912415B3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E6AB-433E-B868-BE0912415B3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E6AB-433E-B868-BE0912415B3A}"/>
            </c:ext>
          </c:extLst>
        </c:ser>
        <c:dLbls>
          <c:showLegendKey val="0"/>
          <c:showVal val="0"/>
          <c:showCatName val="0"/>
          <c:showSerName val="0"/>
          <c:showPercent val="0"/>
          <c:showBubbleSize val="0"/>
        </c:dLbls>
        <c:gapWidth val="100"/>
        <c:overlap val="100"/>
        <c:axId val="293717504"/>
        <c:axId val="293719040"/>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E6AB-433E-B868-BE0912415B3A}"/>
            </c:ext>
          </c:extLst>
        </c:ser>
        <c:dLbls>
          <c:showLegendKey val="0"/>
          <c:showVal val="0"/>
          <c:showCatName val="0"/>
          <c:showSerName val="0"/>
          <c:showPercent val="0"/>
          <c:showBubbleSize val="0"/>
        </c:dLbls>
        <c:marker val="1"/>
        <c:smooth val="0"/>
        <c:axId val="293717504"/>
        <c:axId val="293719040"/>
      </c:lineChart>
      <c:catAx>
        <c:axId val="293717504"/>
        <c:scaling>
          <c:orientation val="minMax"/>
        </c:scaling>
        <c:delete val="1"/>
        <c:axPos val="b"/>
        <c:numFmt formatCode="General" sourceLinked="1"/>
        <c:majorTickMark val="out"/>
        <c:minorTickMark val="none"/>
        <c:tickLblPos val="nextTo"/>
        <c:crossAx val="293719040"/>
        <c:crosses val="autoZero"/>
        <c:auto val="1"/>
        <c:lblAlgn val="ctr"/>
        <c:lblOffset val="100"/>
        <c:noMultiLvlLbl val="0"/>
      </c:catAx>
      <c:valAx>
        <c:axId val="293719040"/>
        <c:scaling>
          <c:orientation val="minMax"/>
        </c:scaling>
        <c:delete val="1"/>
        <c:axPos val="l"/>
        <c:numFmt formatCode="General" sourceLinked="1"/>
        <c:majorTickMark val="none"/>
        <c:minorTickMark val="none"/>
        <c:tickLblPos val="nextTo"/>
        <c:crossAx val="293717504"/>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62458498420181541"/>
        </c:manualLayout>
      </c:layout>
      <c:areaChart>
        <c:grouping val="standard"/>
        <c:varyColors val="0"/>
        <c:ser>
          <c:idx val="6"/>
          <c:order val="6"/>
          <c:tx>
            <c:strRef>
              <c:f>Sheet1!$H$1</c:f>
              <c:strCache>
                <c:ptCount val="1"/>
                <c:pt idx="0">
                  <c:v>Column1</c:v>
                </c:pt>
              </c:strCache>
            </c:strRef>
          </c:tx>
          <c:cat>
            <c:strRef>
              <c:f>Sheet1!$A$2:$A$65</c:f>
              <c:strCache>
                <c:ptCount val="20"/>
                <c:pt idx="3">
                  <c:v>2019</c:v>
                </c:pt>
                <c:pt idx="7">
                  <c:v>2020</c:v>
                </c:pt>
                <c:pt idx="11">
                  <c:v>2021</c:v>
                </c:pt>
                <c:pt idx="15">
                  <c:v>2022</c:v>
                </c:pt>
                <c:pt idx="17">
                  <c:v>2023 - 1</c:v>
                </c:pt>
                <c:pt idx="18">
                  <c:v>2023 - 2</c:v>
                </c:pt>
                <c:pt idx="19">
                  <c:v>2023 - 3</c:v>
                </c:pt>
              </c:strCache>
            </c:strRef>
          </c:cat>
          <c:val>
            <c:numRef>
              <c:f>Sheet1!$H$2:$H$65</c:f>
              <c:numCache>
                <c:formatCode>General</c:formatCode>
                <c:ptCount val="20"/>
                <c:pt idx="17">
                  <c:v>4</c:v>
                </c:pt>
                <c:pt idx="18">
                  <c:v>4</c:v>
                </c:pt>
                <c:pt idx="19">
                  <c:v>4</c:v>
                </c:pt>
              </c:numCache>
            </c:numRef>
          </c:val>
          <c:extLst>
            <c:ext xmlns:c16="http://schemas.microsoft.com/office/drawing/2014/chart" uri="{C3380CC4-5D6E-409C-BE32-E72D297353CC}">
              <c16:uniqueId val="{00000000-5BB4-4760-9BE8-67D9B89A9971}"/>
            </c:ext>
          </c:extLst>
        </c:ser>
        <c:ser>
          <c:idx val="7"/>
          <c:order val="7"/>
          <c:tx>
            <c:strRef>
              <c:f>Sheet1!$I$1</c:f>
              <c:strCache>
                <c:ptCount val="1"/>
                <c:pt idx="0">
                  <c:v>Column2</c:v>
                </c:pt>
              </c:strCache>
            </c:strRef>
          </c:tx>
          <c:spPr>
            <a:solidFill>
              <a:srgbClr val="1F497D">
                <a:lumMod val="20000"/>
                <a:lumOff val="80000"/>
                <a:alpha val="50000"/>
              </a:srgbClr>
            </a:solidFill>
          </c:spPr>
          <c:cat>
            <c:strRef>
              <c:f>Sheet1!$A$2:$A$65</c:f>
              <c:strCache>
                <c:ptCount val="20"/>
                <c:pt idx="3">
                  <c:v>2019</c:v>
                </c:pt>
                <c:pt idx="7">
                  <c:v>2020</c:v>
                </c:pt>
                <c:pt idx="11">
                  <c:v>2021</c:v>
                </c:pt>
                <c:pt idx="15">
                  <c:v>2022</c:v>
                </c:pt>
                <c:pt idx="17">
                  <c:v>2023 - 1</c:v>
                </c:pt>
                <c:pt idx="18">
                  <c:v>2023 - 2</c:v>
                </c:pt>
                <c:pt idx="19">
                  <c:v>2023 - 3</c:v>
                </c:pt>
              </c:strCache>
            </c:strRef>
          </c:cat>
          <c:val>
            <c:numRef>
              <c:f>Sheet1!$I$2:$I$65</c:f>
              <c:numCache>
                <c:formatCode>General</c:formatCode>
                <c:ptCount val="20"/>
                <c:pt idx="17">
                  <c:v>14</c:v>
                </c:pt>
                <c:pt idx="18">
                  <c:v>14</c:v>
                </c:pt>
                <c:pt idx="19">
                  <c:v>14</c:v>
                </c:pt>
              </c:numCache>
            </c:numRef>
          </c:val>
          <c:extLst>
            <c:ext xmlns:c16="http://schemas.microsoft.com/office/drawing/2014/chart" uri="{C3380CC4-5D6E-409C-BE32-E72D297353CC}">
              <c16:uniqueId val="{00000001-5BB4-4760-9BE8-67D9B89A9971}"/>
            </c:ext>
          </c:extLst>
        </c:ser>
        <c:dLbls>
          <c:showLegendKey val="0"/>
          <c:showVal val="0"/>
          <c:showCatName val="0"/>
          <c:showSerName val="0"/>
          <c:showPercent val="0"/>
          <c:showBubbleSize val="0"/>
        </c:dLbls>
        <c:axId val="293777408"/>
        <c:axId val="293778944"/>
      </c:areaChart>
      <c:lineChart>
        <c:grouping val="standard"/>
        <c:varyColors val="0"/>
        <c:ser>
          <c:idx val="0"/>
          <c:order val="0"/>
          <c:tx>
            <c:strRef>
              <c:f>Sheet1!$B$1</c:f>
              <c:strCache>
                <c:ptCount val="1"/>
                <c:pt idx="0">
                  <c:v>ԿԲ ռեպո</c:v>
                </c:pt>
              </c:strCache>
            </c:strRef>
          </c:tx>
          <c:spPr>
            <a:ln w="31750" cap="rnd">
              <a:solidFill>
                <a:schemeClr val="tx1"/>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5.75</c:v>
                </c:pt>
                <c:pt idx="1">
                  <c:v>5.75</c:v>
                </c:pt>
                <c:pt idx="2">
                  <c:v>5.5</c:v>
                </c:pt>
                <c:pt idx="3">
                  <c:v>5.5</c:v>
                </c:pt>
                <c:pt idx="4">
                  <c:v>5.25</c:v>
                </c:pt>
                <c:pt idx="5">
                  <c:v>4.5</c:v>
                </c:pt>
                <c:pt idx="6">
                  <c:v>4.25</c:v>
                </c:pt>
                <c:pt idx="7">
                  <c:v>5.25</c:v>
                </c:pt>
                <c:pt idx="8">
                  <c:v>5.5</c:v>
                </c:pt>
                <c:pt idx="9">
                  <c:v>6.5</c:v>
                </c:pt>
                <c:pt idx="10">
                  <c:v>7.25</c:v>
                </c:pt>
                <c:pt idx="11">
                  <c:v>7.75</c:v>
                </c:pt>
                <c:pt idx="12">
                  <c:v>9.25</c:v>
                </c:pt>
                <c:pt idx="13">
                  <c:v>9.25</c:v>
                </c:pt>
                <c:pt idx="14">
                  <c:v>10</c:v>
                </c:pt>
                <c:pt idx="15" formatCode="0.00">
                  <c:v>10.75</c:v>
                </c:pt>
                <c:pt idx="17" formatCode="0.00">
                  <c:v>10.75</c:v>
                </c:pt>
                <c:pt idx="18" formatCode="0.00">
                  <c:v>10.75</c:v>
                </c:pt>
                <c:pt idx="19" formatCode="0.00">
                  <c:v>10.75</c:v>
                </c:pt>
              </c:numCache>
            </c:numRef>
          </c:val>
          <c:smooth val="0"/>
          <c:extLst>
            <c:ext xmlns:c16="http://schemas.microsoft.com/office/drawing/2014/chart" uri="{C3380CC4-5D6E-409C-BE32-E72D297353CC}">
              <c16:uniqueId val="{00000002-5BB4-4760-9BE8-67D9B89A9971}"/>
            </c:ext>
          </c:extLst>
        </c:ser>
        <c:ser>
          <c:idx val="1"/>
          <c:order val="1"/>
          <c:tx>
            <c:strRef>
              <c:f>Sheet1!$C$1</c:f>
              <c:strCache>
                <c:ptCount val="1"/>
                <c:pt idx="0">
                  <c:v>Միջբանկային ռեպո</c:v>
                </c:pt>
              </c:strCache>
            </c:strRef>
          </c:tx>
          <c:spPr>
            <a:ln w="19050" cap="rnd">
              <a:solidFill>
                <a:schemeClr val="accent2"/>
              </a:solidFill>
              <a:prstDash val="solid"/>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Sheet1!$C$2:$C$65</c:f>
            </c:numRef>
          </c:val>
          <c:smooth val="0"/>
          <c:extLst>
            <c:ext xmlns:c16="http://schemas.microsoft.com/office/drawing/2014/chart" uri="{C3380CC4-5D6E-409C-BE32-E72D297353CC}">
              <c16:uniqueId val="{00000003-5BB4-4760-9BE8-67D9B89A9971}"/>
            </c:ext>
          </c:extLst>
        </c:ser>
        <c:ser>
          <c:idx val="2"/>
          <c:order val="2"/>
          <c:tx>
            <c:strRef>
              <c:f>Sheet1!$D$1</c:f>
              <c:strCache>
                <c:ptCount val="1"/>
                <c:pt idx="0">
                  <c:v>Պետական պարտատոմսեր, 1տ․</c:v>
                </c:pt>
              </c:strCache>
            </c:strRef>
          </c:tx>
          <c:spPr>
            <a:ln w="19050" cap="rnd">
              <a:solidFill>
                <a:schemeClr val="accent3"/>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c:formatCode>
                <c:ptCount val="20"/>
                <c:pt idx="0">
                  <c:v>6.5629</c:v>
                </c:pt>
                <c:pt idx="1">
                  <c:v>6.2850999999999999</c:v>
                </c:pt>
                <c:pt idx="2">
                  <c:v>6.2698999999999998</c:v>
                </c:pt>
                <c:pt idx="3">
                  <c:v>6.0016999999999996</c:v>
                </c:pt>
                <c:pt idx="4">
                  <c:v>5.7816999999999998</c:v>
                </c:pt>
                <c:pt idx="5">
                  <c:v>5.5404999999999998</c:v>
                </c:pt>
                <c:pt idx="6">
                  <c:v>5.5647000000000002</c:v>
                </c:pt>
                <c:pt idx="7">
                  <c:v>6.4890999999999996</c:v>
                </c:pt>
                <c:pt idx="8">
                  <c:v>6.8712428571428568</c:v>
                </c:pt>
                <c:pt idx="9">
                  <c:v>7.3503850130953534</c:v>
                </c:pt>
                <c:pt idx="10">
                  <c:v>8.4334571428571437</c:v>
                </c:pt>
                <c:pt idx="11">
                  <c:v>9.0296000000000003</c:v>
                </c:pt>
                <c:pt idx="12">
                  <c:v>9.6898681818181824</c:v>
                </c:pt>
                <c:pt idx="13">
                  <c:v>10.307509090909091</c:v>
                </c:pt>
                <c:pt idx="14">
                  <c:v>10.583795238095238</c:v>
                </c:pt>
                <c:pt idx="15">
                  <c:v>11.7258</c:v>
                </c:pt>
                <c:pt idx="17">
                  <c:v>11.622784999999997</c:v>
                </c:pt>
                <c:pt idx="18">
                  <c:v>11.471364999999997</c:v>
                </c:pt>
                <c:pt idx="19">
                  <c:v>11.59599090909091</c:v>
                </c:pt>
              </c:numCache>
            </c:numRef>
          </c:val>
          <c:smooth val="0"/>
          <c:extLst>
            <c:ext xmlns:c16="http://schemas.microsoft.com/office/drawing/2014/chart" uri="{C3380CC4-5D6E-409C-BE32-E72D297353CC}">
              <c16:uniqueId val="{00000004-5BB4-4760-9BE8-67D9B89A9971}"/>
            </c:ext>
          </c:extLst>
        </c:ser>
        <c:ser>
          <c:idx val="3"/>
          <c:order val="3"/>
          <c:tx>
            <c:strRef>
              <c:f>Sheet1!$E$1</c:f>
              <c:strCache>
                <c:ptCount val="1"/>
                <c:pt idx="0">
                  <c:v>Պետական պարտատոմսեր, 10տ․</c:v>
                </c:pt>
              </c:strCache>
            </c:strRef>
          </c:tx>
          <c:spPr>
            <a:ln w="19050" cap="rnd">
              <a:solidFill>
                <a:schemeClr val="accent4"/>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0.0</c:formatCode>
                <c:ptCount val="20"/>
                <c:pt idx="0">
                  <c:v>9.8978999999999999</c:v>
                </c:pt>
                <c:pt idx="1">
                  <c:v>9.6851000000000003</c:v>
                </c:pt>
                <c:pt idx="2">
                  <c:v>9.4785000000000004</c:v>
                </c:pt>
                <c:pt idx="3">
                  <c:v>8.4870000000000001</c:v>
                </c:pt>
                <c:pt idx="4">
                  <c:v>7.7184999999999997</c:v>
                </c:pt>
                <c:pt idx="5">
                  <c:v>7.7636000000000003</c:v>
                </c:pt>
                <c:pt idx="6">
                  <c:v>7.6761999999999997</c:v>
                </c:pt>
                <c:pt idx="7">
                  <c:v>8.8371999999999993</c:v>
                </c:pt>
                <c:pt idx="8">
                  <c:v>8.8150272727272725</c:v>
                </c:pt>
                <c:pt idx="9">
                  <c:v>9.0018772727272722</c:v>
                </c:pt>
                <c:pt idx="10">
                  <c:v>10.014661904761903</c:v>
                </c:pt>
                <c:pt idx="11">
                  <c:v>10.023227272727274</c:v>
                </c:pt>
                <c:pt idx="12">
                  <c:v>10.728454545454547</c:v>
                </c:pt>
                <c:pt idx="13">
                  <c:v>11.198654545454545</c:v>
                </c:pt>
                <c:pt idx="14">
                  <c:v>11.536523809523809</c:v>
                </c:pt>
                <c:pt idx="15">
                  <c:v>11.9946</c:v>
                </c:pt>
                <c:pt idx="17">
                  <c:v>11.776389999999999</c:v>
                </c:pt>
                <c:pt idx="18">
                  <c:v>11.618069999999999</c:v>
                </c:pt>
                <c:pt idx="19">
                  <c:v>11.654004545454546</c:v>
                </c:pt>
              </c:numCache>
            </c:numRef>
          </c:val>
          <c:smooth val="0"/>
          <c:extLst>
            <c:ext xmlns:c16="http://schemas.microsoft.com/office/drawing/2014/chart" uri="{C3380CC4-5D6E-409C-BE32-E72D297353CC}">
              <c16:uniqueId val="{00000005-5BB4-4760-9BE8-67D9B89A9971}"/>
            </c:ext>
          </c:extLst>
        </c:ser>
        <c:ser>
          <c:idx val="4"/>
          <c:order val="4"/>
          <c:tx>
            <c:strRef>
              <c:f>Sheet1!$F$1</c:f>
              <c:strCache>
                <c:ptCount val="1"/>
                <c:pt idx="0">
                  <c:v>Վարկեր, մինչև 1 տ․</c:v>
                </c:pt>
              </c:strCache>
            </c:strRef>
          </c:tx>
          <c:spPr>
            <a:ln w="25400" cap="rnd">
              <a:solidFill>
                <a:schemeClr val="accent5"/>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0.0</c:formatCode>
                <c:ptCount val="20"/>
                <c:pt idx="0">
                  <c:v>12.566448328509471</c:v>
                </c:pt>
                <c:pt idx="1">
                  <c:v>12.144401734432861</c:v>
                </c:pt>
                <c:pt idx="2">
                  <c:v>12.011844768610082</c:v>
                </c:pt>
                <c:pt idx="3">
                  <c:v>11.466281685037378</c:v>
                </c:pt>
                <c:pt idx="4">
                  <c:v>12.086361052439955</c:v>
                </c:pt>
                <c:pt idx="5">
                  <c:v>11.840666400286993</c:v>
                </c:pt>
                <c:pt idx="6">
                  <c:v>11.739999180461965</c:v>
                </c:pt>
                <c:pt idx="7">
                  <c:v>11.46854913302637</c:v>
                </c:pt>
                <c:pt idx="8">
                  <c:v>11.961990666081375</c:v>
                </c:pt>
                <c:pt idx="9">
                  <c:v>10.411636000567436</c:v>
                </c:pt>
                <c:pt idx="10">
                  <c:v>12.208102534160609</c:v>
                </c:pt>
                <c:pt idx="11">
                  <c:v>12.277436640171302</c:v>
                </c:pt>
                <c:pt idx="12">
                  <c:v>12.491087907189435</c:v>
                </c:pt>
                <c:pt idx="13">
                  <c:v>11.274733470496635</c:v>
                </c:pt>
                <c:pt idx="14">
                  <c:v>11.773619839763745</c:v>
                </c:pt>
                <c:pt idx="15">
                  <c:v>12.026777148567596</c:v>
                </c:pt>
                <c:pt idx="17" formatCode="#,##0.00">
                  <c:v>11.758733642189338</c:v>
                </c:pt>
                <c:pt idx="18" formatCode="#,##0.00">
                  <c:v>11.81813621014304</c:v>
                </c:pt>
                <c:pt idx="19" formatCode="#,##0.00">
                  <c:v>12.280686192171711</c:v>
                </c:pt>
              </c:numCache>
            </c:numRef>
          </c:val>
          <c:smooth val="0"/>
          <c:extLst>
            <c:ext xmlns:c16="http://schemas.microsoft.com/office/drawing/2014/chart" uri="{C3380CC4-5D6E-409C-BE32-E72D297353CC}">
              <c16:uniqueId val="{00000006-5BB4-4760-9BE8-67D9B89A9971}"/>
            </c:ext>
          </c:extLst>
        </c:ser>
        <c:ser>
          <c:idx val="5"/>
          <c:order val="5"/>
          <c:tx>
            <c:strRef>
              <c:f>Sheet1!$G$1</c:f>
              <c:strCache>
                <c:ptCount val="1"/>
                <c:pt idx="0">
                  <c:v>Ավանդներ, մինչև 1տ․</c:v>
                </c:pt>
              </c:strCache>
            </c:strRef>
          </c:tx>
          <c:spPr>
            <a:ln w="25400" cap="rnd">
              <a:solidFill>
                <a:schemeClr val="accent6"/>
              </a:solidFill>
              <a:prstDash val="solid"/>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Sheet1!$G$2:$G$65</c:f>
              <c:numCache>
                <c:formatCode>0.0</c:formatCode>
                <c:ptCount val="20"/>
                <c:pt idx="0">
                  <c:v>8.9925664741048639</c:v>
                </c:pt>
                <c:pt idx="1">
                  <c:v>8.2520508136414197</c:v>
                </c:pt>
                <c:pt idx="2">
                  <c:v>7.3665894160339667</c:v>
                </c:pt>
                <c:pt idx="3">
                  <c:v>8.4654773659965628</c:v>
                </c:pt>
                <c:pt idx="4">
                  <c:v>7.2291523038045318</c:v>
                </c:pt>
                <c:pt idx="5">
                  <c:v>7.9211712515744601</c:v>
                </c:pt>
                <c:pt idx="6">
                  <c:v>8.4142766303570919</c:v>
                </c:pt>
                <c:pt idx="7">
                  <c:v>7.4048415965003471</c:v>
                </c:pt>
                <c:pt idx="8">
                  <c:v>7.7422870380906073</c:v>
                </c:pt>
                <c:pt idx="9">
                  <c:v>8.0158616246163845</c:v>
                </c:pt>
                <c:pt idx="10">
                  <c:v>8.2773469777009598</c:v>
                </c:pt>
                <c:pt idx="11">
                  <c:v>8.2678332122473623</c:v>
                </c:pt>
                <c:pt idx="12">
                  <c:v>9.2964040296125265</c:v>
                </c:pt>
                <c:pt idx="13">
                  <c:v>8.1287571727719037</c:v>
                </c:pt>
                <c:pt idx="14">
                  <c:v>7.6374793222786144</c:v>
                </c:pt>
                <c:pt idx="15">
                  <c:v>8.6201560403887179</c:v>
                </c:pt>
                <c:pt idx="17" formatCode="#,##0.00">
                  <c:v>8.4331002640766979</c:v>
                </c:pt>
                <c:pt idx="18" formatCode="#,##0.00">
                  <c:v>8.2394822623711086</c:v>
                </c:pt>
                <c:pt idx="19" formatCode="#,##0.00">
                  <c:v>8.1887607485517133</c:v>
                </c:pt>
              </c:numCache>
            </c:numRef>
          </c:val>
          <c:smooth val="0"/>
          <c:extLst>
            <c:ext xmlns:c16="http://schemas.microsoft.com/office/drawing/2014/chart" uri="{C3380CC4-5D6E-409C-BE32-E72D297353CC}">
              <c16:uniqueId val="{00000007-5BB4-4760-9BE8-67D9B89A9971}"/>
            </c:ext>
          </c:extLst>
        </c:ser>
        <c:dLbls>
          <c:showLegendKey val="0"/>
          <c:showVal val="0"/>
          <c:showCatName val="0"/>
          <c:showSerName val="0"/>
          <c:showPercent val="0"/>
          <c:showBubbleSize val="0"/>
        </c:dLbls>
        <c:marker val="1"/>
        <c:smooth val="0"/>
        <c:axId val="293777408"/>
        <c:axId val="293778944"/>
      </c:lineChart>
      <c:catAx>
        <c:axId val="2937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293778944"/>
        <c:crosses val="autoZero"/>
        <c:auto val="1"/>
        <c:lblAlgn val="ctr"/>
        <c:lblOffset val="100"/>
        <c:noMultiLvlLbl val="0"/>
      </c:catAx>
      <c:valAx>
        <c:axId val="293778944"/>
        <c:scaling>
          <c:orientation val="minMax"/>
          <c:max val="14"/>
          <c:min val="4"/>
        </c:scaling>
        <c:delete val="0"/>
        <c:axPos val="l"/>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93777408"/>
        <c:crosses val="autoZero"/>
        <c:crossBetween val="between"/>
      </c:valAx>
      <c:spPr>
        <a:solidFill>
          <a:schemeClr val="bg1"/>
        </a:solidFill>
        <a:ln>
          <a:noFill/>
        </a:ln>
        <a:effectLst/>
      </c:spPr>
    </c:plotArea>
    <c:legend>
      <c:legendPos val="b"/>
      <c:legendEntry>
        <c:idx val="0"/>
        <c:delete val="1"/>
      </c:legendEntry>
      <c:legendEntry>
        <c:idx val="1"/>
        <c:delete val="1"/>
      </c:legendEntry>
      <c:layout>
        <c:manualLayout>
          <c:xMode val="edge"/>
          <c:yMode val="edge"/>
          <c:x val="2.3400191021967526E-2"/>
          <c:y val="0.82324285934846375"/>
          <c:w val="0.91652626253043668"/>
          <c:h val="0.17675702559473058"/>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Sheet1!$B$2:$H$2</c:f>
              <c:numCache>
                <c:formatCode>0</c:formatCode>
                <c:ptCount val="5"/>
                <c:pt idx="0">
                  <c:v>543.90490863859986</c:v>
                </c:pt>
                <c:pt idx="1">
                  <c:v>555.96211278689998</c:v>
                </c:pt>
                <c:pt idx="2">
                  <c:v>578.330288903</c:v>
                </c:pt>
                <c:pt idx="3">
                  <c:v>734.97183447970008</c:v>
                </c:pt>
                <c:pt idx="4">
                  <c:v>1664.7899011987997</c:v>
                </c:pt>
              </c:numCache>
            </c:numRef>
          </c:val>
          <c:extLst>
            <c:ext xmlns:c16="http://schemas.microsoft.com/office/drawing/2014/chart" uri="{C3380CC4-5D6E-409C-BE32-E72D297353CC}">
              <c16:uniqueId val="{00000000-EDA2-4D16-B3C3-C5121ED9EF98}"/>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Sheet1!$B$3:$H$3</c:f>
              <c:numCache>
                <c:formatCode>0</c:formatCode>
                <c:ptCount val="5"/>
                <c:pt idx="0">
                  <c:v>-1087.5720585999998</c:v>
                </c:pt>
                <c:pt idx="1">
                  <c:v>-1053.7484653500003</c:v>
                </c:pt>
                <c:pt idx="2">
                  <c:v>-938.93193043000008</c:v>
                </c:pt>
                <c:pt idx="3">
                  <c:v>-1365.6801875199997</c:v>
                </c:pt>
                <c:pt idx="4">
                  <c:v>-2582.6486226008096</c:v>
                </c:pt>
              </c:numCache>
            </c:numRef>
          </c:val>
          <c:extLst>
            <c:ext xmlns:c16="http://schemas.microsoft.com/office/drawing/2014/chart" uri="{C3380CC4-5D6E-409C-BE32-E72D297353CC}">
              <c16:uniqueId val="{00000002-EDA2-4D16-B3C3-C5121ED9EF98}"/>
            </c:ext>
          </c:extLst>
        </c:ser>
        <c:dLbls>
          <c:dLblPos val="inEnd"/>
          <c:showLegendKey val="0"/>
          <c:showVal val="1"/>
          <c:showCatName val="0"/>
          <c:showSerName val="0"/>
          <c:showPercent val="0"/>
          <c:showBubbleSize val="0"/>
        </c:dLbls>
        <c:gapWidth val="150"/>
        <c:overlap val="100"/>
        <c:axId val="294534144"/>
        <c:axId val="294537088"/>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EE7-4851-8B4E-6523C925CA6A}"/>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EE7-4851-8B4E-6523C925CA6A}"/>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EE7-4851-8B4E-6523C925CA6A}"/>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EE7-4851-8B4E-6523C925CA6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2019</c:v>
                </c:pt>
                <c:pt idx="1">
                  <c:v>2020</c:v>
                </c:pt>
                <c:pt idx="2">
                  <c:v>2021</c:v>
                </c:pt>
                <c:pt idx="3">
                  <c:v>2022</c:v>
                </c:pt>
                <c:pt idx="4">
                  <c:v>2023</c:v>
                </c:pt>
              </c:strCache>
            </c:strRef>
          </c:cat>
          <c:val>
            <c:numRef>
              <c:f>Sheet1!$B$4:$H$4</c:f>
              <c:numCache>
                <c:formatCode>0</c:formatCode>
                <c:ptCount val="5"/>
                <c:pt idx="0">
                  <c:v>-543.6671499613999</c:v>
                </c:pt>
                <c:pt idx="1">
                  <c:v>-497.78635256310031</c:v>
                </c:pt>
                <c:pt idx="2">
                  <c:v>-360.60164152700008</c:v>
                </c:pt>
                <c:pt idx="3">
                  <c:v>-630.70835304029958</c:v>
                </c:pt>
                <c:pt idx="4">
                  <c:v>-917.85872140200991</c:v>
                </c:pt>
              </c:numCache>
            </c:numRef>
          </c:val>
          <c:smooth val="0"/>
          <c:extLst>
            <c:ext xmlns:c16="http://schemas.microsoft.com/office/drawing/2014/chart" uri="{C3380CC4-5D6E-409C-BE32-E72D297353CC}">
              <c16:uniqueId val="{00000001-EDA2-4D16-B3C3-C5121ED9EF98}"/>
            </c:ext>
          </c:extLst>
        </c:ser>
        <c:dLbls>
          <c:showLegendKey val="0"/>
          <c:showVal val="1"/>
          <c:showCatName val="0"/>
          <c:showSerName val="0"/>
          <c:showPercent val="0"/>
          <c:showBubbleSize val="0"/>
        </c:dLbls>
        <c:marker val="1"/>
        <c:smooth val="0"/>
        <c:axId val="294534144"/>
        <c:axId val="294537088"/>
      </c:lineChart>
      <c:catAx>
        <c:axId val="294534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37088"/>
        <c:crosses val="autoZero"/>
        <c:auto val="0"/>
        <c:lblAlgn val="ctr"/>
        <c:lblOffset val="100"/>
        <c:noMultiLvlLbl val="0"/>
      </c:catAx>
      <c:valAx>
        <c:axId val="294537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34144"/>
        <c:crosses val="autoZero"/>
        <c:crossBetween val="between"/>
        <c:majorUnit val="1000"/>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Sheet1!$B$2:$P$2</c:f>
              <c:numCache>
                <c:formatCode>0.0</c:formatCode>
                <c:ptCount val="3"/>
                <c:pt idx="0">
                  <c:v>88.438659423760129</c:v>
                </c:pt>
                <c:pt idx="1">
                  <c:v>121.08855995400538</c:v>
                </c:pt>
                <c:pt idx="2">
                  <c:v>174.16621043512367</c:v>
                </c:pt>
              </c:numCache>
            </c:numRef>
          </c:val>
          <c:smooth val="0"/>
          <c:extLst>
            <c:ext xmlns:c16="http://schemas.microsoft.com/office/drawing/2014/chart" uri="{C3380CC4-5D6E-409C-BE32-E72D297353CC}">
              <c16:uniqueId val="{00000000-B5F5-4C6D-A15B-1F8FDFA9CA1B}"/>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Sheet1!$B$3:$P$3</c:f>
              <c:numCache>
                <c:formatCode>0.0</c:formatCode>
                <c:ptCount val="3"/>
                <c:pt idx="0">
                  <c:v>88.438659423760129</c:v>
                </c:pt>
                <c:pt idx="1">
                  <c:v>105.00341563418627</c:v>
                </c:pt>
                <c:pt idx="2">
                  <c:v>126.51070735895482</c:v>
                </c:pt>
              </c:numCache>
            </c:numRef>
          </c:val>
          <c:smooth val="0"/>
          <c:extLst>
            <c:ext xmlns:c16="http://schemas.microsoft.com/office/drawing/2014/chart" uri="{C3380CC4-5D6E-409C-BE32-E72D297353CC}">
              <c16:uniqueId val="{00000001-B5F5-4C6D-A15B-1F8FDFA9CA1B}"/>
            </c:ext>
          </c:extLst>
        </c:ser>
        <c:dLbls>
          <c:dLblPos val="t"/>
          <c:showLegendKey val="0"/>
          <c:showVal val="1"/>
          <c:showCatName val="0"/>
          <c:showSerName val="0"/>
          <c:showPercent val="0"/>
          <c:showBubbleSize val="0"/>
        </c:dLbls>
        <c:marker val="1"/>
        <c:smooth val="0"/>
        <c:axId val="294573568"/>
        <c:axId val="294575104"/>
      </c:lineChart>
      <c:catAx>
        <c:axId val="29457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75104"/>
        <c:crosses val="autoZero"/>
        <c:auto val="1"/>
        <c:lblAlgn val="ctr"/>
        <c:lblOffset val="100"/>
        <c:noMultiLvlLbl val="0"/>
      </c:catAx>
      <c:valAx>
        <c:axId val="29457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573568"/>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2180139063655933"/>
          <c:w val="0.97802150537634414"/>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9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Sheet1!$B$2:$P$2</c:f>
              <c:numCache>
                <c:formatCode>0.0</c:formatCode>
                <c:ptCount val="3"/>
                <c:pt idx="0">
                  <c:v>50.97318327776307</c:v>
                </c:pt>
                <c:pt idx="1">
                  <c:v>61.15341619988655</c:v>
                </c:pt>
                <c:pt idx="2">
                  <c:v>76.504877181347041</c:v>
                </c:pt>
              </c:numCache>
            </c:numRef>
          </c:val>
          <c:smooth val="0"/>
          <c:extLst>
            <c:ext xmlns:c16="http://schemas.microsoft.com/office/drawing/2014/chart" uri="{C3380CC4-5D6E-409C-BE32-E72D297353CC}">
              <c16:uniqueId val="{00000000-7258-4977-89D7-FC600062FB3C}"/>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Sheet1!$B$3:$P$3</c:f>
              <c:numCache>
                <c:formatCode>0.0</c:formatCode>
                <c:ptCount val="3"/>
                <c:pt idx="0">
                  <c:v>2.5195515077339508</c:v>
                </c:pt>
                <c:pt idx="1">
                  <c:v>4.3534469558531299</c:v>
                </c:pt>
                <c:pt idx="2">
                  <c:v>3.5820153225482443</c:v>
                </c:pt>
              </c:numCache>
            </c:numRef>
          </c:val>
          <c:smooth val="0"/>
          <c:extLst>
            <c:ext xmlns:c16="http://schemas.microsoft.com/office/drawing/2014/chart" uri="{C3380CC4-5D6E-409C-BE32-E72D297353CC}">
              <c16:uniqueId val="{00000001-7258-4977-89D7-FC600062FB3C}"/>
            </c:ext>
          </c:extLst>
        </c:ser>
        <c:ser>
          <c:idx val="2"/>
          <c:order val="2"/>
          <c:tx>
            <c:strRef>
              <c:f>Sheet1!$A$4</c:f>
              <c:strCache>
                <c:ptCount val="1"/>
                <c:pt idx="0">
                  <c:v>Փոխարժեքի փոփոխություն (կուտակային)</c:v>
                </c:pt>
              </c:strCache>
            </c:strRef>
          </c:tx>
          <c:dLbls>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Sheet1!$B$4:$P$4</c:f>
              <c:numCache>
                <c:formatCode>0.0</c:formatCode>
                <c:ptCount val="3"/>
                <c:pt idx="0">
                  <c:v>21.748465482836153</c:v>
                </c:pt>
                <c:pt idx="1">
                  <c:v>21.903108926444887</c:v>
                </c:pt>
                <c:pt idx="2">
                  <c:v>23.893256805175866</c:v>
                </c:pt>
              </c:numCache>
            </c:numRef>
          </c:val>
          <c:smooth val="0"/>
          <c:extLst>
            <c:ext xmlns:c16="http://schemas.microsoft.com/office/drawing/2014/chart" uri="{C3380CC4-5D6E-409C-BE32-E72D297353CC}">
              <c16:uniqueId val="{00000002-7258-4977-89D7-FC600062FB3C}"/>
            </c:ext>
          </c:extLst>
        </c:ser>
        <c:dLbls>
          <c:showLegendKey val="0"/>
          <c:showVal val="0"/>
          <c:showCatName val="0"/>
          <c:showSerName val="0"/>
          <c:showPercent val="0"/>
          <c:showBubbleSize val="0"/>
        </c:dLbls>
        <c:marker val="1"/>
        <c:smooth val="0"/>
        <c:axId val="294867712"/>
        <c:axId val="294869248"/>
      </c:lineChart>
      <c:catAx>
        <c:axId val="294867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869248"/>
        <c:crosses val="autoZero"/>
        <c:auto val="1"/>
        <c:lblAlgn val="ctr"/>
        <c:lblOffset val="100"/>
        <c:noMultiLvlLbl val="0"/>
      </c:catAx>
      <c:valAx>
        <c:axId val="294869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867712"/>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Sheet1!$B$2:$P$2</c:f>
              <c:numCache>
                <c:formatCode>0.0</c:formatCode>
                <c:ptCount val="3"/>
                <c:pt idx="0">
                  <c:v>71.341826328436866</c:v>
                </c:pt>
                <c:pt idx="1">
                  <c:v>60.883497014965627</c:v>
                </c:pt>
                <c:pt idx="2">
                  <c:v>136.94817003633131</c:v>
                </c:pt>
              </c:numCache>
            </c:numRef>
          </c:val>
          <c:smooth val="0"/>
          <c:extLst>
            <c:ext xmlns:c16="http://schemas.microsoft.com/office/drawing/2014/chart" uri="{C3380CC4-5D6E-409C-BE32-E72D297353CC}">
              <c16:uniqueId val="{00000000-3620-49B8-B6B9-9607E09CF003}"/>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Sheet1!$B$3:$P$3</c:f>
              <c:numCache>
                <c:formatCode>0.0</c:formatCode>
                <c:ptCount val="3"/>
                <c:pt idx="0">
                  <c:v>71.341826328436866</c:v>
                </c:pt>
                <c:pt idx="1">
                  <c:v>65.687858617705359</c:v>
                </c:pt>
                <c:pt idx="2">
                  <c:v>89.096722571351364</c:v>
                </c:pt>
              </c:numCache>
            </c:numRef>
          </c:val>
          <c:smooth val="0"/>
          <c:extLst>
            <c:ext xmlns:c16="http://schemas.microsoft.com/office/drawing/2014/chart" uri="{C3380CC4-5D6E-409C-BE32-E72D297353CC}">
              <c16:uniqueId val="{00000001-3620-49B8-B6B9-9607E09CF003}"/>
            </c:ext>
          </c:extLst>
        </c:ser>
        <c:dLbls>
          <c:dLblPos val="t"/>
          <c:showLegendKey val="0"/>
          <c:showVal val="1"/>
          <c:showCatName val="0"/>
          <c:showSerName val="0"/>
          <c:showPercent val="0"/>
          <c:showBubbleSize val="0"/>
        </c:dLbls>
        <c:marker val="1"/>
        <c:smooth val="0"/>
        <c:axId val="294647680"/>
        <c:axId val="294649216"/>
      </c:lineChart>
      <c:catAx>
        <c:axId val="294647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649216"/>
        <c:crosses val="autoZero"/>
        <c:auto val="1"/>
        <c:lblAlgn val="ctr"/>
        <c:lblOffset val="100"/>
        <c:noMultiLvlLbl val="0"/>
      </c:catAx>
      <c:valAx>
        <c:axId val="29464921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4647680"/>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22785433070867"/>
          <c:w val="0.97802150537634414"/>
          <c:h val="0.15056184383202098"/>
        </c:manualLayout>
      </c:layout>
      <c:overlay val="0"/>
      <c:spPr>
        <a:noFill/>
        <a:ln>
          <a:noFill/>
        </a:ln>
        <a:effectLst/>
      </c:spPr>
      <c:txPr>
        <a:bodyPr rot="0" spcFirstLastPara="1" vertOverflow="ellipsis" vert="horz" wrap="square" anchor="ctr" anchorCtr="1"/>
        <a:lstStyle/>
        <a:p>
          <a:pPr>
            <a:defRPr sz="9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a:t>
            </a:r>
            <a:endParaRPr lang="en-US" sz="1000"/>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Sheet1!$B$2:$B$65</c:f>
              <c:numCache>
                <c:formatCode>0.0</c:formatCode>
                <c:ptCount val="52"/>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numCache>
            </c:numRef>
          </c:val>
          <c:smooth val="0"/>
          <c:extLst>
            <c:ext xmlns:c16="http://schemas.microsoft.com/office/drawing/2014/chart" uri="{C3380CC4-5D6E-409C-BE32-E72D297353CC}">
              <c16:uniqueId val="{00000000-49B5-433A-A2BB-AB3FE75DA34E}"/>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Sheet1!$C$2:$C$65</c:f>
              <c:numCache>
                <c:formatCode>General</c:formatCode>
                <c:ptCount val="52"/>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numCache>
            </c:numRef>
          </c:val>
          <c:smooth val="0"/>
          <c:extLst>
            <c:ext xmlns:c16="http://schemas.microsoft.com/office/drawing/2014/chart" uri="{C3380CC4-5D6E-409C-BE32-E72D297353CC}">
              <c16:uniqueId val="{00000001-49B5-433A-A2BB-AB3FE75DA34E}"/>
            </c:ext>
          </c:extLst>
        </c:ser>
        <c:ser>
          <c:idx val="2"/>
          <c:order val="2"/>
          <c:tx>
            <c:strRef>
              <c:f>Sheet1!$D$1</c:f>
              <c:strCache>
                <c:ptCount val="1"/>
                <c:pt idx="0">
                  <c:v>Չինաստան</c:v>
                </c:pt>
              </c:strCache>
            </c:strRef>
          </c:tx>
          <c:spPr>
            <a:ln w="28575" cap="rnd">
              <a:solidFill>
                <a:schemeClr val="bg1">
                  <a:lumMod val="50000"/>
                </a:schemeClr>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Sheet1!$D$2:$D$65</c:f>
              <c:numCache>
                <c:formatCode>General</c:formatCode>
                <c:ptCount val="52"/>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numCache>
            </c:numRef>
          </c:val>
          <c:smooth val="0"/>
          <c:extLst>
            <c:ext xmlns:c16="http://schemas.microsoft.com/office/drawing/2014/chart" uri="{C3380CC4-5D6E-409C-BE32-E72D297353CC}">
              <c16:uniqueId val="{00000002-49B5-433A-A2BB-AB3FE75DA34E}"/>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Sheet1!$A$2:$A$65</c:f>
              <c:strCache>
                <c:ptCount val="52"/>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pt idx="51">
                  <c:v>2023M4</c:v>
                </c:pt>
              </c:strCache>
            </c:strRef>
          </c:cat>
          <c:val>
            <c:numRef>
              <c:f>Sheet1!$E$2:$E$65</c:f>
              <c:numCache>
                <c:formatCode>0.0</c:formatCode>
                <c:ptCount val="52"/>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numCache>
            </c:numRef>
          </c:val>
          <c:smooth val="0"/>
          <c:extLst>
            <c:ext xmlns:c16="http://schemas.microsoft.com/office/drawing/2014/chart" uri="{C3380CC4-5D6E-409C-BE32-E72D297353CC}">
              <c16:uniqueId val="{00000003-49B5-433A-A2BB-AB3FE75DA34E}"/>
            </c:ext>
          </c:extLst>
        </c:ser>
        <c:dLbls>
          <c:showLegendKey val="0"/>
          <c:showVal val="0"/>
          <c:showCatName val="0"/>
          <c:showSerName val="0"/>
          <c:showPercent val="0"/>
          <c:showBubbleSize val="0"/>
        </c:dLbls>
        <c:smooth val="0"/>
        <c:axId val="266717440"/>
        <c:axId val="267018240"/>
      </c:lineChart>
      <c:catAx>
        <c:axId val="266717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7018240"/>
        <c:crosses val="autoZero"/>
        <c:auto val="1"/>
        <c:lblAlgn val="ctr"/>
        <c:lblOffset val="100"/>
        <c:noMultiLvlLbl val="0"/>
      </c:catAx>
      <c:valAx>
        <c:axId val="267018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6717440"/>
        <c:crosses val="autoZero"/>
        <c:crossBetween val="between"/>
      </c:valAx>
      <c:spPr>
        <a:noFill/>
        <a:ln w="25400">
          <a:noFill/>
        </a:ln>
      </c:spPr>
    </c:plotArea>
    <c:legend>
      <c:legendPos val="b"/>
      <c:layout>
        <c:manualLayout>
          <c:xMode val="edge"/>
          <c:yMode val="edge"/>
          <c:x val="0.10769896621570693"/>
          <c:y val="0.91604416278359357"/>
          <c:w val="0.88040796127478338"/>
          <c:h val="7.219461105427249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6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Sheet1!$B$2:$P$2</c:f>
              <c:numCache>
                <c:formatCode>0.0</c:formatCode>
                <c:ptCount val="3"/>
                <c:pt idx="0">
                  <c:v>46.428756417637061</c:v>
                </c:pt>
                <c:pt idx="1">
                  <c:v>39.589176493722562</c:v>
                </c:pt>
                <c:pt idx="2">
                  <c:v>62.859898077448463</c:v>
                </c:pt>
              </c:numCache>
            </c:numRef>
          </c:val>
          <c:smooth val="0"/>
          <c:extLst>
            <c:ext xmlns:c16="http://schemas.microsoft.com/office/drawing/2014/chart" uri="{C3380CC4-5D6E-409C-BE32-E72D297353CC}">
              <c16:uniqueId val="{00000000-8E06-4439-B1E9-F8F8EE9141E8}"/>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Sheet1!$B$3:$P$3</c:f>
              <c:numCache>
                <c:formatCode>0.0</c:formatCode>
                <c:ptCount val="3"/>
                <c:pt idx="0">
                  <c:v>-3.88890579994451</c:v>
                </c:pt>
                <c:pt idx="1">
                  <c:v>-2.6302268385770162</c:v>
                </c:pt>
                <c:pt idx="2">
                  <c:v>-6.2821809084447864</c:v>
                </c:pt>
              </c:numCache>
            </c:numRef>
          </c:val>
          <c:smooth val="0"/>
          <c:extLst>
            <c:ext xmlns:c16="http://schemas.microsoft.com/office/drawing/2014/chart" uri="{C3380CC4-5D6E-409C-BE32-E72D297353CC}">
              <c16:uniqueId val="{00000001-8E06-4439-B1E9-F8F8EE9141E8}"/>
            </c:ext>
          </c:extLst>
        </c:ser>
        <c:ser>
          <c:idx val="2"/>
          <c:order val="2"/>
          <c:tx>
            <c:strRef>
              <c:f>Sheet1!$A$4</c:f>
              <c:strCache>
                <c:ptCount val="1"/>
                <c:pt idx="0">
                  <c:v>Փոխարժեքի փոփոխություն (կուտակային)</c:v>
                </c:pt>
              </c:strCache>
            </c:strRef>
          </c:tx>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Sheet1!$B$1:$P$1</c:f>
              <c:strCache>
                <c:ptCount val="3"/>
                <c:pt idx="0">
                  <c:v>2023-1</c:v>
                </c:pt>
                <c:pt idx="1">
                  <c:v>2023-2</c:v>
                </c:pt>
                <c:pt idx="2">
                  <c:v>2023-3</c:v>
                </c:pt>
              </c:strCache>
            </c:strRef>
          </c:cat>
          <c:val>
            <c:numRef>
              <c:f>Sheet1!$B$4:$P$4</c:f>
              <c:numCache>
                <c:formatCode>0.0</c:formatCode>
                <c:ptCount val="3"/>
                <c:pt idx="0">
                  <c:v>21.748465482836153</c:v>
                </c:pt>
                <c:pt idx="1">
                  <c:v>21.903108926444901</c:v>
                </c:pt>
                <c:pt idx="2">
                  <c:v>23.893256805175898</c:v>
                </c:pt>
              </c:numCache>
            </c:numRef>
          </c:val>
          <c:smooth val="0"/>
          <c:extLst>
            <c:ext xmlns:c16="http://schemas.microsoft.com/office/drawing/2014/chart" uri="{C3380CC4-5D6E-409C-BE32-E72D297353CC}">
              <c16:uniqueId val="{00000002-8E06-4439-B1E9-F8F8EE9141E8}"/>
            </c:ext>
          </c:extLst>
        </c:ser>
        <c:dLbls>
          <c:showLegendKey val="0"/>
          <c:showVal val="0"/>
          <c:showCatName val="0"/>
          <c:showSerName val="0"/>
          <c:showPercent val="0"/>
          <c:showBubbleSize val="0"/>
        </c:dLbls>
        <c:marker val="1"/>
        <c:smooth val="0"/>
        <c:axId val="295092992"/>
        <c:axId val="295094528"/>
      </c:lineChart>
      <c:catAx>
        <c:axId val="295092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094528"/>
        <c:crosses val="autoZero"/>
        <c:auto val="1"/>
        <c:lblAlgn val="ctr"/>
        <c:lblOffset val="100"/>
        <c:noMultiLvlLbl val="0"/>
      </c:catAx>
      <c:valAx>
        <c:axId val="295094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092992"/>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4471-4BE3-BC3B-C9F7446478C0}"/>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364.48899999999998</c:v>
                </c:pt>
                <c:pt idx="1">
                  <c:v>117.72994699999998</c:v>
                </c:pt>
                <c:pt idx="2">
                  <c:v>246.75905299999999</c:v>
                </c:pt>
              </c:numCache>
            </c:numRef>
          </c:val>
          <c:extLst>
            <c:ext xmlns:c16="http://schemas.microsoft.com/office/drawing/2014/chart" uri="{C3380CC4-5D6E-409C-BE32-E72D297353CC}">
              <c16:uniqueId val="{00000001-4471-4BE3-BC3B-C9F7446478C0}"/>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307.58999999999997</c:v>
                </c:pt>
                <c:pt idx="1">
                  <c:v>121.093</c:v>
                </c:pt>
                <c:pt idx="2">
                  <c:v>186.49699999999996</c:v>
                </c:pt>
              </c:numCache>
            </c:numRef>
          </c:val>
          <c:extLst>
            <c:ext xmlns:c16="http://schemas.microsoft.com/office/drawing/2014/chart" uri="{C3380CC4-5D6E-409C-BE32-E72D297353CC}">
              <c16:uniqueId val="{00000002-4471-4BE3-BC3B-C9F7446478C0}"/>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86.524000000000001</c:v>
                </c:pt>
                <c:pt idx="1">
                  <c:v>30.213000000000001</c:v>
                </c:pt>
                <c:pt idx="2">
                  <c:v>56.311</c:v>
                </c:pt>
              </c:numCache>
            </c:numRef>
          </c:val>
          <c:extLst>
            <c:ext xmlns:c16="http://schemas.microsoft.com/office/drawing/2014/chart" uri="{C3380CC4-5D6E-409C-BE32-E72D297353CC}">
              <c16:uniqueId val="{00000003-4471-4BE3-BC3B-C9F7446478C0}"/>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249.36099999999999</c:v>
                </c:pt>
                <c:pt idx="1">
                  <c:v>108.976</c:v>
                </c:pt>
                <c:pt idx="2">
                  <c:v>140.38499999999999</c:v>
                </c:pt>
              </c:numCache>
            </c:numRef>
          </c:val>
          <c:extLst>
            <c:ext xmlns:c16="http://schemas.microsoft.com/office/drawing/2014/chart" uri="{C3380CC4-5D6E-409C-BE32-E72D297353CC}">
              <c16:uniqueId val="{00000004-4471-4BE3-BC3B-C9F7446478C0}"/>
            </c:ext>
          </c:extLst>
        </c:ser>
        <c:ser>
          <c:idx val="5"/>
          <c:order val="5"/>
          <c:tx>
            <c:strRef>
              <c:f>Sheet1!$G$1</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451.85</c:v>
                </c:pt>
                <c:pt idx="1">
                  <c:v>237.04</c:v>
                </c:pt>
                <c:pt idx="2">
                  <c:v>214.81000000000003</c:v>
                </c:pt>
              </c:numCache>
            </c:numRef>
          </c:val>
          <c:extLst>
            <c:ext xmlns:c16="http://schemas.microsoft.com/office/drawing/2014/chart" uri="{C3380CC4-5D6E-409C-BE32-E72D297353CC}">
              <c16:uniqueId val="{00000000-86B1-4246-8E8C-1F19EEC49067}"/>
            </c:ext>
          </c:extLst>
        </c:ser>
        <c:dLbls>
          <c:dLblPos val="outEnd"/>
          <c:showLegendKey val="0"/>
          <c:showVal val="1"/>
          <c:showCatName val="0"/>
          <c:showSerName val="0"/>
          <c:showPercent val="0"/>
          <c:showBubbleSize val="0"/>
        </c:dLbls>
        <c:gapWidth val="219"/>
        <c:overlap val="-27"/>
        <c:axId val="295350272"/>
        <c:axId val="295351808"/>
      </c:barChart>
      <c:catAx>
        <c:axId val="2953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51808"/>
        <c:crosses val="autoZero"/>
        <c:auto val="1"/>
        <c:lblAlgn val="ctr"/>
        <c:lblOffset val="100"/>
        <c:noMultiLvlLbl val="0"/>
      </c:catAx>
      <c:valAx>
        <c:axId val="29535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50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09816876338732"/>
          <c:y val="9.1269841269841265E-2"/>
          <c:w val="0.85643889341418533"/>
          <c:h val="0.74242302029319507"/>
        </c:manualLayout>
      </c:layout>
      <c:barChart>
        <c:barDir val="col"/>
        <c:grouping val="stacked"/>
        <c:varyColors val="0"/>
        <c:ser>
          <c:idx val="1"/>
          <c:order val="1"/>
          <c:tx>
            <c:strRef>
              <c:f>Sheet1!$A$3</c:f>
              <c:strCache>
                <c:ptCount val="1"/>
                <c:pt idx="0">
                  <c:v>ՌԴ</c:v>
                </c:pt>
              </c:strCache>
            </c:strRef>
          </c:tx>
          <c:spPr>
            <a:solidFill>
              <a:srgbClr val="4F81BD">
                <a:lumMod val="75000"/>
              </a:srgbClr>
            </a:solidFill>
            <a:ln>
              <a:noFill/>
            </a:ln>
            <a:effectLst/>
          </c:spPr>
          <c:invertIfNegative val="0"/>
          <c:cat>
            <c:strRef>
              <c:f>Sheet1!$B$1:$V$1</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Sheet1!$B$3:$V$3</c:f>
              <c:numCache>
                <c:formatCode>_(* #,##0_);_(* \(#,##0\);_(* "-"??_);_(@_)</c:formatCode>
                <c:ptCount val="17"/>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1079.4368400000001</c:v>
                </c:pt>
              </c:numCache>
            </c:numRef>
          </c:val>
          <c:extLst>
            <c:ext xmlns:c16="http://schemas.microsoft.com/office/drawing/2014/chart" uri="{C3380CC4-5D6E-409C-BE32-E72D297353CC}">
              <c16:uniqueId val="{00000000-D080-4F5B-B2EA-B366A0593E22}"/>
            </c:ext>
          </c:extLst>
        </c:ser>
        <c:ser>
          <c:idx val="2"/>
          <c:order val="2"/>
          <c:tx>
            <c:strRef>
              <c:f>Sheet1!$A$4</c:f>
              <c:strCache>
                <c:ptCount val="1"/>
                <c:pt idx="0">
                  <c:v>Այլ</c:v>
                </c:pt>
              </c:strCache>
            </c:strRef>
          </c:tx>
          <c:spPr>
            <a:solidFill>
              <a:sysClr val="window" lastClr="FFFFFF">
                <a:lumMod val="65000"/>
              </a:sysClr>
            </a:solidFill>
            <a:ln>
              <a:noFill/>
            </a:ln>
            <a:effectLst/>
          </c:spPr>
          <c:invertIfNegative val="0"/>
          <c:cat>
            <c:strRef>
              <c:f>Sheet1!$B$1:$V$1</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Sheet1!$B$4:$V$4</c:f>
              <c:numCache>
                <c:formatCode>0</c:formatCode>
                <c:ptCount val="17"/>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-526.24767999999995</c:v>
                </c:pt>
              </c:numCache>
            </c:numRef>
          </c:val>
          <c:extLst>
            <c:ext xmlns:c16="http://schemas.microsoft.com/office/drawing/2014/chart" uri="{C3380CC4-5D6E-409C-BE32-E72D297353CC}">
              <c16:uniqueId val="{00000001-D080-4F5B-B2EA-B366A0593E22}"/>
            </c:ext>
          </c:extLst>
        </c:ser>
        <c:dLbls>
          <c:showLegendKey val="0"/>
          <c:showVal val="0"/>
          <c:showCatName val="0"/>
          <c:showSerName val="0"/>
          <c:showPercent val="0"/>
          <c:showBubbleSize val="0"/>
        </c:dLbls>
        <c:gapWidth val="150"/>
        <c:overlap val="100"/>
        <c:axId val="295367424"/>
        <c:axId val="295368960"/>
      </c:barChart>
      <c:lineChart>
        <c:grouping val="standard"/>
        <c:varyColors val="0"/>
        <c:ser>
          <c:idx val="0"/>
          <c:order val="0"/>
          <c:tx>
            <c:strRef>
              <c:f>Sheet1!$A$2</c:f>
              <c:strCache>
                <c:ptCount val="1"/>
                <c:pt idx="0">
                  <c:v>Ընդամենը</c:v>
                </c:pt>
              </c:strCache>
            </c:strRef>
          </c:tx>
          <c:spPr>
            <a:ln w="28575" cap="rnd">
              <a:solidFill>
                <a:srgbClr val="1F497D">
                  <a:lumMod val="75000"/>
                </a:srgbClr>
              </a:solidFill>
              <a:round/>
            </a:ln>
            <a:effectLst/>
          </c:spPr>
          <c:marker>
            <c:symbol val="none"/>
          </c:marker>
          <c:cat>
            <c:strRef>
              <c:f>Sheet1!$B$1:$V$1</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Sheet1!$B$2:$V$2</c:f>
              <c:numCache>
                <c:formatCode>_(* #,##0_);_(* \(#,##0\);_(* "-"??_);_(@_)</c:formatCode>
                <c:ptCount val="17"/>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numCache>
            </c:numRef>
          </c:val>
          <c:smooth val="0"/>
          <c:extLst>
            <c:ext xmlns:c16="http://schemas.microsoft.com/office/drawing/2014/chart" uri="{C3380CC4-5D6E-409C-BE32-E72D297353CC}">
              <c16:uniqueId val="{00000002-D080-4F5B-B2EA-B366A0593E22}"/>
            </c:ext>
          </c:extLst>
        </c:ser>
        <c:dLbls>
          <c:showLegendKey val="0"/>
          <c:showVal val="0"/>
          <c:showCatName val="0"/>
          <c:showSerName val="0"/>
          <c:showPercent val="0"/>
          <c:showBubbleSize val="0"/>
        </c:dLbls>
        <c:marker val="1"/>
        <c:smooth val="0"/>
        <c:axId val="295367424"/>
        <c:axId val="295368960"/>
      </c:lineChart>
      <c:catAx>
        <c:axId val="295367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68960"/>
        <c:crosses val="autoZero"/>
        <c:auto val="1"/>
        <c:lblAlgn val="ctr"/>
        <c:lblOffset val="100"/>
        <c:noMultiLvlLbl val="0"/>
      </c:catAx>
      <c:valAx>
        <c:axId val="29536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r>
                  <a:rPr lang="hy-AM" sz="1100"/>
                  <a:t>մլն․ ԱՄՆ դոլար</a:t>
                </a:r>
                <a:endParaRPr lang="en-US" sz="1100"/>
              </a:p>
            </c:rich>
          </c:tx>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67424"/>
        <c:crosses val="autoZero"/>
        <c:crossBetween val="between"/>
      </c:valAx>
      <c:spPr>
        <a:solidFill>
          <a:schemeClr val="bg1"/>
        </a:solidFill>
        <a:ln>
          <a:noFill/>
        </a:ln>
        <a:effectLst/>
      </c:spPr>
    </c:plotArea>
    <c:legend>
      <c:legendPos val="b"/>
      <c:layout>
        <c:manualLayout>
          <c:xMode val="edge"/>
          <c:yMode val="edge"/>
          <c:x val="0.33989078951337981"/>
          <c:y val="0.67908984364826508"/>
          <c:w val="0.37768968534105651"/>
          <c:h val="8.920299596696754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12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4.3650793650793648E-2"/>
          <c:w val="0.90591154553956621"/>
          <c:h val="0.54199330056118677"/>
        </c:manualLayout>
      </c:layout>
      <c:barChart>
        <c:barDir val="col"/>
        <c:grouping val="stacked"/>
        <c:varyColors val="0"/>
        <c:ser>
          <c:idx val="0"/>
          <c:order val="0"/>
          <c:tx>
            <c:strRef>
              <c:f>Sheet1!$B$1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Sheet1!$B$2:$B$22</c:f>
              <c:numCache>
                <c:formatCode>0</c:formatCode>
                <c:ptCount val="17"/>
                <c:pt idx="0">
                  <c:v>-77.777560699999981</c:v>
                </c:pt>
                <c:pt idx="1">
                  <c:v>4.9017405000000736</c:v>
                </c:pt>
                <c:pt idx="2">
                  <c:v>-50.03285290000008</c:v>
                </c:pt>
                <c:pt idx="3">
                  <c:v>-21.708400500000153</c:v>
                </c:pt>
                <c:pt idx="4">
                  <c:v>-28.47810800000002</c:v>
                </c:pt>
                <c:pt idx="5">
                  <c:v>4.258640000000014</c:v>
                </c:pt>
                <c:pt idx="6">
                  <c:v>5.1264299999999139</c:v>
                </c:pt>
                <c:pt idx="7">
                  <c:v>-90.218759999999975</c:v>
                </c:pt>
                <c:pt idx="8">
                  <c:v>-44.764182000000119</c:v>
                </c:pt>
                <c:pt idx="9">
                  <c:v>-47.872495999999956</c:v>
                </c:pt>
                <c:pt idx="10">
                  <c:v>3.7606030000000601</c:v>
                </c:pt>
                <c:pt idx="11">
                  <c:v>22.342673000000104</c:v>
                </c:pt>
                <c:pt idx="12">
                  <c:v>82.827041122292712</c:v>
                </c:pt>
                <c:pt idx="13">
                  <c:v>-50.18449343652253</c:v>
                </c:pt>
                <c:pt idx="14">
                  <c:v>-228.23183459037773</c:v>
                </c:pt>
                <c:pt idx="15">
                  <c:v>-326.58099857808588</c:v>
                </c:pt>
                <c:pt idx="16">
                  <c:v>-198.4</c:v>
                </c:pt>
              </c:numCache>
            </c:numRef>
          </c:val>
          <c:extLst>
            <c:ext xmlns:c16="http://schemas.microsoft.com/office/drawing/2014/chart" uri="{C3380CC4-5D6E-409C-BE32-E72D297353CC}">
              <c16:uniqueId val="{00000000-E36E-4D9C-AE74-5FC5F7826918}"/>
            </c:ext>
          </c:extLst>
        </c:ser>
        <c:ser>
          <c:idx val="1"/>
          <c:order val="1"/>
          <c:tx>
            <c:strRef>
              <c:f>Sheet1!$C$1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Sheet1!$C$2:$C$22</c:f>
              <c:numCache>
                <c:formatCode>0</c:formatCode>
                <c:ptCount val="17"/>
                <c:pt idx="0">
                  <c:v>-48.851464199999981</c:v>
                </c:pt>
                <c:pt idx="1">
                  <c:v>-7.9430901000000347</c:v>
                </c:pt>
                <c:pt idx="2">
                  <c:v>-3.3764428000000066</c:v>
                </c:pt>
                <c:pt idx="3">
                  <c:v>-35.556790800000016</c:v>
                </c:pt>
                <c:pt idx="4">
                  <c:v>-57.345421500000015</c:v>
                </c:pt>
                <c:pt idx="5">
                  <c:v>-28.027285899999995</c:v>
                </c:pt>
                <c:pt idx="6">
                  <c:v>-27.659299799999985</c:v>
                </c:pt>
                <c:pt idx="7">
                  <c:v>-55.250605399999998</c:v>
                </c:pt>
                <c:pt idx="8">
                  <c:v>-37.588152999999977</c:v>
                </c:pt>
                <c:pt idx="9">
                  <c:v>-44.314930999999987</c:v>
                </c:pt>
                <c:pt idx="10">
                  <c:v>-30.467195000000004</c:v>
                </c:pt>
                <c:pt idx="11">
                  <c:v>-47.701574000000022</c:v>
                </c:pt>
                <c:pt idx="12">
                  <c:v>38.055483617751008</c:v>
                </c:pt>
                <c:pt idx="13">
                  <c:v>-116.10974062181617</c:v>
                </c:pt>
                <c:pt idx="14">
                  <c:v>-151.48745476086944</c:v>
                </c:pt>
                <c:pt idx="15">
                  <c:v>-157.53865432476798</c:v>
                </c:pt>
                <c:pt idx="16">
                  <c:v>-173.7</c:v>
                </c:pt>
              </c:numCache>
            </c:numRef>
          </c:val>
          <c:extLst>
            <c:ext xmlns:c16="http://schemas.microsoft.com/office/drawing/2014/chart" uri="{C3380CC4-5D6E-409C-BE32-E72D297353CC}">
              <c16:uniqueId val="{00000001-E36E-4D9C-AE74-5FC5F7826918}"/>
            </c:ext>
          </c:extLst>
        </c:ser>
        <c:ser>
          <c:idx val="2"/>
          <c:order val="2"/>
          <c:tx>
            <c:strRef>
              <c:f>Sheet1!$D$1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strRef>
              <c:f>Sheet1!$A$2:$A$22</c:f>
              <c:strCache>
                <c:ptCount val="17"/>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pt idx="16">
                  <c:v>2023 I</c:v>
                </c:pt>
              </c:strCache>
            </c:strRef>
          </c:cat>
          <c:val>
            <c:numRef>
              <c:f>Sheet1!$D$2:$D$22</c:f>
              <c:numCache>
                <c:formatCode>0</c:formatCode>
                <c:ptCount val="17"/>
                <c:pt idx="0">
                  <c:v>0</c:v>
                </c:pt>
                <c:pt idx="1">
                  <c:v>0</c:v>
                </c:pt>
                <c:pt idx="2">
                  <c:v>0</c:v>
                </c:pt>
                <c:pt idx="3">
                  <c:v>0</c:v>
                </c:pt>
                <c:pt idx="4">
                  <c:v>0</c:v>
                </c:pt>
                <c:pt idx="5">
                  <c:v>0</c:v>
                </c:pt>
                <c:pt idx="6">
                  <c:v>0</c:v>
                </c:pt>
                <c:pt idx="7">
                  <c:v>0</c:v>
                </c:pt>
                <c:pt idx="8">
                  <c:v>5.1814139999999895</c:v>
                </c:pt>
                <c:pt idx="9">
                  <c:v>56.355378999999985</c:v>
                </c:pt>
                <c:pt idx="10">
                  <c:v>38.985996999999998</c:v>
                </c:pt>
                <c:pt idx="11">
                  <c:v>13.216617000000014</c:v>
                </c:pt>
                <c:pt idx="12">
                  <c:v>-31.598552698007609</c:v>
                </c:pt>
                <c:pt idx="13">
                  <c:v>190.46627119187261</c:v>
                </c:pt>
                <c:pt idx="14">
                  <c:v>423.24379297671146</c:v>
                </c:pt>
                <c:pt idx="15">
                  <c:v>550.39308050890099</c:v>
                </c:pt>
                <c:pt idx="16">
                  <c:v>428.1</c:v>
                </c:pt>
              </c:numCache>
            </c:numRef>
          </c:val>
          <c:extLst>
            <c:ext xmlns:c16="http://schemas.microsoft.com/office/drawing/2014/chart" uri="{C3380CC4-5D6E-409C-BE32-E72D297353CC}">
              <c16:uniqueId val="{00000002-E36E-4D9C-AE74-5FC5F7826918}"/>
            </c:ext>
          </c:extLst>
        </c:ser>
        <c:dLbls>
          <c:showLegendKey val="0"/>
          <c:showVal val="0"/>
          <c:showCatName val="0"/>
          <c:showSerName val="0"/>
          <c:showPercent val="0"/>
          <c:showBubbleSize val="0"/>
        </c:dLbls>
        <c:gapWidth val="100"/>
        <c:overlap val="100"/>
        <c:axId val="295306752"/>
        <c:axId val="295308288"/>
      </c:barChart>
      <c:catAx>
        <c:axId val="29530675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08288"/>
        <c:crosses val="autoZero"/>
        <c:auto val="0"/>
        <c:lblAlgn val="ctr"/>
        <c:lblOffset val="800"/>
        <c:noMultiLvlLbl val="0"/>
      </c:catAx>
      <c:valAx>
        <c:axId val="29530828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306752"/>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21404853089861822"/>
          <c:y val="0.90552921216339666"/>
          <c:w val="0.50186372131499124"/>
          <c:h val="9.4470787836603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3647402898167145"/>
          <c:h val="0.52294092072846721"/>
        </c:manualLayout>
      </c:layout>
      <c:barChart>
        <c:barDir val="col"/>
        <c:grouping val="clustered"/>
        <c:varyColors val="0"/>
        <c:ser>
          <c:idx val="0"/>
          <c:order val="0"/>
          <c:tx>
            <c:strRef>
              <c:f>Sheet1!$B$1</c:f>
              <c:strCache>
                <c:ptCount val="1"/>
                <c:pt idx="0">
                  <c:v>ԿԲ միջամտություն (զուտ առք), մլն դոլար</c:v>
                </c:pt>
              </c:strCache>
            </c:strRef>
          </c:tx>
          <c:spPr>
            <a:solidFill>
              <a:srgbClr val="4F81BD">
                <a:lumMod val="75000"/>
              </a:srgbClr>
            </a:solidFill>
            <a:ln w="28575">
              <a:noFill/>
            </a:ln>
            <a:effectLst/>
          </c:spPr>
          <c:invertIfNegative val="0"/>
          <c:cat>
            <c:strRef>
              <c:f>Sheet1!$A$2:$A$268</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Sheet1!$B$2:$B$268</c:f>
              <c:numCache>
                <c:formatCode>0</c:formatCode>
                <c:ptCount val="51"/>
                <c:pt idx="0">
                  <c:v>0</c:v>
                </c:pt>
                <c:pt idx="1">
                  <c:v>0</c:v>
                </c:pt>
                <c:pt idx="2">
                  <c:v>5</c:v>
                </c:pt>
                <c:pt idx="3">
                  <c:v>56.65</c:v>
                </c:pt>
                <c:pt idx="4">
                  <c:v>27</c:v>
                </c:pt>
                <c:pt idx="5">
                  <c:v>96.6</c:v>
                </c:pt>
                <c:pt idx="6">
                  <c:v>94.9</c:v>
                </c:pt>
                <c:pt idx="7">
                  <c:v>29.6</c:v>
                </c:pt>
                <c:pt idx="8">
                  <c:v>123.25</c:v>
                </c:pt>
                <c:pt idx="9">
                  <c:v>61.7</c:v>
                </c:pt>
                <c:pt idx="10">
                  <c:v>27.1</c:v>
                </c:pt>
                <c:pt idx="11">
                  <c:v>43.8</c:v>
                </c:pt>
                <c:pt idx="12">
                  <c:v>37.799999999999997</c:v>
                </c:pt>
                <c:pt idx="13">
                  <c:v>20</c:v>
                </c:pt>
                <c:pt idx="14">
                  <c:v>-70</c:v>
                </c:pt>
                <c:pt idx="15">
                  <c:v>-23.9</c:v>
                </c:pt>
                <c:pt idx="16">
                  <c:v>0</c:v>
                </c:pt>
                <c:pt idx="17">
                  <c:v>0</c:v>
                </c:pt>
                <c:pt idx="18">
                  <c:v>0</c:v>
                </c:pt>
                <c:pt idx="19">
                  <c:v>0</c:v>
                </c:pt>
                <c:pt idx="20">
                  <c:v>0</c:v>
                </c:pt>
                <c:pt idx="21">
                  <c:v>0</c:v>
                </c:pt>
                <c:pt idx="22">
                  <c:v>-60</c:v>
                </c:pt>
                <c:pt idx="23">
                  <c:v>-50.85</c:v>
                </c:pt>
                <c:pt idx="24">
                  <c:v>-46.8</c:v>
                </c:pt>
                <c:pt idx="25">
                  <c:v>0</c:v>
                </c:pt>
                <c:pt idx="26">
                  <c:v>-34.799999999999997</c:v>
                </c:pt>
                <c:pt idx="27">
                  <c:v>-74.7</c:v>
                </c:pt>
                <c:pt idx="28">
                  <c:v>0</c:v>
                </c:pt>
                <c:pt idx="29">
                  <c:v>7</c:v>
                </c:pt>
                <c:pt idx="30">
                  <c:v>0</c:v>
                </c:pt>
                <c:pt idx="31">
                  <c:v>0</c:v>
                </c:pt>
                <c:pt idx="32">
                  <c:v>10</c:v>
                </c:pt>
                <c:pt idx="33">
                  <c:v>0</c:v>
                </c:pt>
                <c:pt idx="34">
                  <c:v>5</c:v>
                </c:pt>
                <c:pt idx="35">
                  <c:v>0</c:v>
                </c:pt>
                <c:pt idx="36">
                  <c:v>0</c:v>
                </c:pt>
                <c:pt idx="37">
                  <c:v>0</c:v>
                </c:pt>
                <c:pt idx="38">
                  <c:v>0</c:v>
                </c:pt>
                <c:pt idx="39">
                  <c:v>67</c:v>
                </c:pt>
                <c:pt idx="40">
                  <c:v>0</c:v>
                </c:pt>
                <c:pt idx="41">
                  <c:v>100</c:v>
                </c:pt>
                <c:pt idx="42">
                  <c:v>18.5</c:v>
                </c:pt>
                <c:pt idx="43">
                  <c:v>81.3</c:v>
                </c:pt>
                <c:pt idx="44">
                  <c:v>55</c:v>
                </c:pt>
                <c:pt idx="45">
                  <c:v>80</c:v>
                </c:pt>
                <c:pt idx="46">
                  <c:v>114</c:v>
                </c:pt>
                <c:pt idx="47">
                  <c:v>58</c:v>
                </c:pt>
              </c:numCache>
            </c:numRef>
          </c:val>
          <c:extLst>
            <c:ext xmlns:c16="http://schemas.microsoft.com/office/drawing/2014/chart" uri="{C3380CC4-5D6E-409C-BE32-E72D297353CC}">
              <c16:uniqueId val="{00000000-9CCC-4095-9339-ECE10961D85E}"/>
            </c:ext>
          </c:extLst>
        </c:ser>
        <c:dLbls>
          <c:showLegendKey val="0"/>
          <c:showVal val="0"/>
          <c:showCatName val="0"/>
          <c:showSerName val="0"/>
          <c:showPercent val="0"/>
          <c:showBubbleSize val="0"/>
        </c:dLbls>
        <c:gapWidth val="150"/>
        <c:axId val="295280000"/>
        <c:axId val="295281792"/>
      </c:barChart>
      <c:lineChart>
        <c:grouping val="standard"/>
        <c:varyColors val="0"/>
        <c:ser>
          <c:idx val="1"/>
          <c:order val="1"/>
          <c:tx>
            <c:strRef>
              <c:f>Sheet1!$C$1</c:f>
              <c:strCache>
                <c:ptCount val="1"/>
                <c:pt idx="0">
                  <c:v>Դրամ/դոլար (աջ առանցք)</c:v>
                </c:pt>
              </c:strCache>
            </c:strRef>
          </c:tx>
          <c:spPr>
            <a:ln w="28575" cap="rnd">
              <a:solidFill>
                <a:srgbClr val="1F497D">
                  <a:lumMod val="60000"/>
                  <a:lumOff val="40000"/>
                </a:srgbClr>
              </a:solidFill>
              <a:round/>
            </a:ln>
            <a:effectLst/>
          </c:spPr>
          <c:marker>
            <c:symbol val="none"/>
          </c:marker>
          <c:cat>
            <c:strRef>
              <c:f>Sheet1!$A$2:$A$268</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Sheet1!$C$2:$C$268</c:f>
              <c:numCache>
                <c:formatCode>0</c:formatCode>
                <c:ptCount val="51"/>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c:v>395.89</c:v>
                </c:pt>
                <c:pt idx="49">
                  <c:v>393.45</c:v>
                </c:pt>
                <c:pt idx="50">
                  <c:v>388.43272727272728</c:v>
                </c:pt>
              </c:numCache>
            </c:numRef>
          </c:val>
          <c:smooth val="0"/>
          <c:extLst>
            <c:ext xmlns:c16="http://schemas.microsoft.com/office/drawing/2014/chart" uri="{C3380CC4-5D6E-409C-BE32-E72D297353CC}">
              <c16:uniqueId val="{00000001-9CCC-4095-9339-ECE10961D85E}"/>
            </c:ext>
          </c:extLst>
        </c:ser>
        <c:dLbls>
          <c:showLegendKey val="0"/>
          <c:showVal val="0"/>
          <c:showCatName val="0"/>
          <c:showSerName val="0"/>
          <c:showPercent val="0"/>
          <c:showBubbleSize val="0"/>
        </c:dLbls>
        <c:marker val="1"/>
        <c:smooth val="0"/>
        <c:axId val="295285120"/>
        <c:axId val="295283328"/>
      </c:lineChart>
      <c:catAx>
        <c:axId val="295280000"/>
        <c:scaling>
          <c:orientation val="minMax"/>
        </c:scaling>
        <c:delete val="0"/>
        <c:axPos val="b"/>
        <c:numFmt formatCode="General" sourceLinked="1"/>
        <c:majorTickMark val="none"/>
        <c:minorTickMark val="none"/>
        <c:tickLblPos val="low"/>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281792"/>
        <c:crosses val="autoZero"/>
        <c:auto val="0"/>
        <c:lblAlgn val="ctr"/>
        <c:lblOffset val="100"/>
        <c:noMultiLvlLbl val="0"/>
      </c:catAx>
      <c:valAx>
        <c:axId val="2952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280000"/>
        <c:crosses val="autoZero"/>
        <c:crossBetween val="between"/>
      </c:valAx>
      <c:valAx>
        <c:axId val="295283328"/>
        <c:scaling>
          <c:orientation val="minMax"/>
          <c:min val="38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285120"/>
        <c:crosses val="max"/>
        <c:crossBetween val="between"/>
      </c:valAx>
      <c:catAx>
        <c:axId val="295285120"/>
        <c:scaling>
          <c:orientation val="minMax"/>
        </c:scaling>
        <c:delete val="1"/>
        <c:axPos val="b"/>
        <c:numFmt formatCode="General" sourceLinked="1"/>
        <c:majorTickMark val="out"/>
        <c:minorTickMark val="none"/>
        <c:tickLblPos val="nextTo"/>
        <c:crossAx val="295283328"/>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716856436111"/>
          <c:y val="9.1886543921786717E-2"/>
          <c:w val="0.69968717939034597"/>
          <c:h val="0.5938454990423494"/>
        </c:manualLayout>
      </c:layout>
      <c:lineChart>
        <c:grouping val="standard"/>
        <c:varyColors val="0"/>
        <c:ser>
          <c:idx val="0"/>
          <c:order val="0"/>
          <c:tx>
            <c:strRef>
              <c:f>Sheet1!$B$1</c:f>
              <c:strCache>
                <c:ptCount val="1"/>
                <c:pt idx="0">
                  <c:v>Դոլար</c:v>
                </c:pt>
              </c:strCache>
            </c:strRef>
          </c:tx>
          <c:spPr>
            <a:ln w="28575" cap="rnd">
              <a:solidFill>
                <a:srgbClr val="0070C0"/>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_(* #,##0_);_(* \(#,##0\);_(* "-"??_);_(@_)</c:formatCode>
                <c:ptCount val="51"/>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formatCode="0.0">
                  <c:v>395.89</c:v>
                </c:pt>
                <c:pt idx="49" formatCode="0.0">
                  <c:v>393.45</c:v>
                </c:pt>
                <c:pt idx="50" formatCode="0.0">
                  <c:v>388.44</c:v>
                </c:pt>
              </c:numCache>
            </c:numRef>
          </c:val>
          <c:smooth val="0"/>
          <c:extLst>
            <c:ext xmlns:c16="http://schemas.microsoft.com/office/drawing/2014/chart" uri="{C3380CC4-5D6E-409C-BE32-E72D297353CC}">
              <c16:uniqueId val="{00000000-7836-4885-B54F-9A06B70FFD6B}"/>
            </c:ext>
          </c:extLst>
        </c:ser>
        <c:ser>
          <c:idx val="1"/>
          <c:order val="1"/>
          <c:tx>
            <c:strRef>
              <c:f>Sheet1!$C$1</c:f>
              <c:strCache>
                <c:ptCount val="1"/>
                <c:pt idx="0">
                  <c:v>Եվրո</c:v>
                </c:pt>
              </c:strCache>
            </c:strRef>
          </c:tx>
          <c:spPr>
            <a:ln w="28575" cap="rnd">
              <a:solidFill>
                <a:srgbClr val="F79646"/>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_(* #,##0_);_(* \(#,##0\);_(* "-"??_);_(@_)</c:formatCode>
                <c:ptCount val="51"/>
                <c:pt idx="0">
                  <c:v>554.84</c:v>
                </c:pt>
                <c:pt idx="1">
                  <c:v>554.27</c:v>
                </c:pt>
                <c:pt idx="2">
                  <c:v>551.41</c:v>
                </c:pt>
                <c:pt idx="3">
                  <c:v>544.42999999999995</c:v>
                </c:pt>
                <c:pt idx="4">
                  <c:v>537.45000000000005</c:v>
                </c:pt>
                <c:pt idx="5">
                  <c:v>540.17999999999995</c:v>
                </c:pt>
                <c:pt idx="6">
                  <c:v>534.54</c:v>
                </c:pt>
                <c:pt idx="7">
                  <c:v>529.5</c:v>
                </c:pt>
                <c:pt idx="8">
                  <c:v>524.36</c:v>
                </c:pt>
                <c:pt idx="9">
                  <c:v>526.39</c:v>
                </c:pt>
                <c:pt idx="10">
                  <c:v>527.4</c:v>
                </c:pt>
                <c:pt idx="11">
                  <c:v>531.17999999999995</c:v>
                </c:pt>
                <c:pt idx="12">
                  <c:v>531.41</c:v>
                </c:pt>
                <c:pt idx="13">
                  <c:v>522.57000000000005</c:v>
                </c:pt>
                <c:pt idx="14">
                  <c:v>541.09</c:v>
                </c:pt>
                <c:pt idx="15">
                  <c:v>531.36</c:v>
                </c:pt>
                <c:pt idx="16">
                  <c:v>526.54</c:v>
                </c:pt>
                <c:pt idx="17">
                  <c:v>541.78</c:v>
                </c:pt>
                <c:pt idx="18">
                  <c:v>555.25</c:v>
                </c:pt>
                <c:pt idx="19">
                  <c:v>574.41</c:v>
                </c:pt>
                <c:pt idx="20">
                  <c:v>573.95000000000005</c:v>
                </c:pt>
                <c:pt idx="21">
                  <c:v>578.66999999999996</c:v>
                </c:pt>
                <c:pt idx="22">
                  <c:v>591.30999999999995</c:v>
                </c:pt>
                <c:pt idx="23">
                  <c:v>631.22</c:v>
                </c:pt>
                <c:pt idx="24">
                  <c:v>633.02</c:v>
                </c:pt>
                <c:pt idx="25">
                  <c:v>633.41999999999996</c:v>
                </c:pt>
                <c:pt idx="26">
                  <c:v>628.03</c:v>
                </c:pt>
                <c:pt idx="27">
                  <c:v>628.44000000000005</c:v>
                </c:pt>
                <c:pt idx="28">
                  <c:v>633.21</c:v>
                </c:pt>
                <c:pt idx="29">
                  <c:v>618.41999999999996</c:v>
                </c:pt>
                <c:pt idx="30">
                  <c:v>580.29</c:v>
                </c:pt>
                <c:pt idx="31">
                  <c:v>578.80999999999995</c:v>
                </c:pt>
                <c:pt idx="32">
                  <c:v>574.82000000000005</c:v>
                </c:pt>
                <c:pt idx="33">
                  <c:v>555.86</c:v>
                </c:pt>
                <c:pt idx="34">
                  <c:v>545.17999999999995</c:v>
                </c:pt>
                <c:pt idx="35">
                  <c:v>548.21</c:v>
                </c:pt>
                <c:pt idx="36">
                  <c:v>546.25</c:v>
                </c:pt>
                <c:pt idx="37">
                  <c:v>544.47</c:v>
                </c:pt>
                <c:pt idx="38">
                  <c:v>547.79999999999995</c:v>
                </c:pt>
                <c:pt idx="39">
                  <c:v>509.88</c:v>
                </c:pt>
                <c:pt idx="40">
                  <c:v>482.99</c:v>
                </c:pt>
                <c:pt idx="41">
                  <c:v>446.99</c:v>
                </c:pt>
                <c:pt idx="42">
                  <c:v>418.36</c:v>
                </c:pt>
                <c:pt idx="43">
                  <c:v>410.96</c:v>
                </c:pt>
                <c:pt idx="44">
                  <c:v>405.41</c:v>
                </c:pt>
                <c:pt idx="45">
                  <c:v>395.78</c:v>
                </c:pt>
                <c:pt idx="46">
                  <c:v>403.14</c:v>
                </c:pt>
                <c:pt idx="47">
                  <c:v>417.71</c:v>
                </c:pt>
                <c:pt idx="48" formatCode="0.0">
                  <c:v>427.28</c:v>
                </c:pt>
                <c:pt idx="49" formatCode="0.0">
                  <c:v>421.68</c:v>
                </c:pt>
                <c:pt idx="50" formatCode="0.0">
                  <c:v>416.08</c:v>
                </c:pt>
              </c:numCache>
            </c:numRef>
          </c:val>
          <c:smooth val="0"/>
          <c:extLst>
            <c:ext xmlns:c16="http://schemas.microsoft.com/office/drawing/2014/chart" uri="{C3380CC4-5D6E-409C-BE32-E72D297353CC}">
              <c16:uniqueId val="{00000001-7836-4885-B54F-9A06B70FFD6B}"/>
            </c:ext>
          </c:extLst>
        </c:ser>
        <c:dLbls>
          <c:showLegendKey val="0"/>
          <c:showVal val="0"/>
          <c:showCatName val="0"/>
          <c:showSerName val="0"/>
          <c:showPercent val="0"/>
          <c:showBubbleSize val="0"/>
        </c:dLbls>
        <c:marker val="1"/>
        <c:smooth val="0"/>
        <c:axId val="295666432"/>
        <c:axId val="295667968"/>
      </c:lineChart>
      <c:lineChart>
        <c:grouping val="standard"/>
        <c:varyColors val="0"/>
        <c:ser>
          <c:idx val="2"/>
          <c:order val="2"/>
          <c:tx>
            <c:strRef>
              <c:f>Sheet1!$D$1</c:f>
              <c:strCache>
                <c:ptCount val="1"/>
                <c:pt idx="0">
                  <c:v>Ռուբլի, աջ առանցք</c:v>
                </c:pt>
              </c:strCache>
            </c:strRef>
          </c:tx>
          <c:spPr>
            <a:ln w="28575" cap="rnd">
              <a:solidFill>
                <a:srgbClr val="4F81BD">
                  <a:lumMod val="60000"/>
                  <a:lumOff val="40000"/>
                </a:srgb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_(* #,##0_);_(* \(#,##0\);_(* "-"??_);_(@_)</c:formatCode>
                <c:ptCount val="51"/>
                <c:pt idx="0">
                  <c:v>7.3</c:v>
                </c:pt>
                <c:pt idx="1">
                  <c:v>7.42</c:v>
                </c:pt>
                <c:pt idx="2">
                  <c:v>7.49</c:v>
                </c:pt>
                <c:pt idx="3">
                  <c:v>7.5</c:v>
                </c:pt>
                <c:pt idx="4">
                  <c:v>7.4</c:v>
                </c:pt>
                <c:pt idx="5">
                  <c:v>7.46</c:v>
                </c:pt>
                <c:pt idx="6">
                  <c:v>7.54</c:v>
                </c:pt>
                <c:pt idx="7">
                  <c:v>7.24</c:v>
                </c:pt>
                <c:pt idx="8">
                  <c:v>7.34</c:v>
                </c:pt>
                <c:pt idx="9">
                  <c:v>7.41</c:v>
                </c:pt>
                <c:pt idx="10">
                  <c:v>7.47</c:v>
                </c:pt>
                <c:pt idx="11">
                  <c:v>7.61</c:v>
                </c:pt>
                <c:pt idx="12">
                  <c:v>7.75</c:v>
                </c:pt>
                <c:pt idx="13">
                  <c:v>7.47</c:v>
                </c:pt>
                <c:pt idx="14">
                  <c:v>6.61</c:v>
                </c:pt>
                <c:pt idx="15">
                  <c:v>6.51</c:v>
                </c:pt>
                <c:pt idx="16">
                  <c:v>6.65</c:v>
                </c:pt>
                <c:pt idx="17">
                  <c:v>6.95</c:v>
                </c:pt>
                <c:pt idx="18">
                  <c:v>6.78</c:v>
                </c:pt>
                <c:pt idx="19">
                  <c:v>6.58</c:v>
                </c:pt>
                <c:pt idx="20">
                  <c:v>6.41</c:v>
                </c:pt>
                <c:pt idx="21">
                  <c:v>6.33</c:v>
                </c:pt>
                <c:pt idx="22">
                  <c:v>6.5</c:v>
                </c:pt>
                <c:pt idx="23">
                  <c:v>7</c:v>
                </c:pt>
                <c:pt idx="24">
                  <c:v>7.01</c:v>
                </c:pt>
                <c:pt idx="25">
                  <c:v>7.04</c:v>
                </c:pt>
                <c:pt idx="26">
                  <c:v>7.09</c:v>
                </c:pt>
                <c:pt idx="27">
                  <c:v>6.91</c:v>
                </c:pt>
                <c:pt idx="28">
                  <c:v>7.04</c:v>
                </c:pt>
                <c:pt idx="29">
                  <c:v>7.07</c:v>
                </c:pt>
                <c:pt idx="30">
                  <c:v>6.64</c:v>
                </c:pt>
                <c:pt idx="31">
                  <c:v>6.68</c:v>
                </c:pt>
                <c:pt idx="32">
                  <c:v>6.7</c:v>
                </c:pt>
                <c:pt idx="33">
                  <c:v>6.71</c:v>
                </c:pt>
                <c:pt idx="34">
                  <c:v>6.56</c:v>
                </c:pt>
                <c:pt idx="35">
                  <c:v>6.58</c:v>
                </c:pt>
                <c:pt idx="36">
                  <c:v>6.32</c:v>
                </c:pt>
                <c:pt idx="37">
                  <c:v>6.16</c:v>
                </c:pt>
                <c:pt idx="38">
                  <c:v>4.83</c:v>
                </c:pt>
                <c:pt idx="39">
                  <c:v>6.1</c:v>
                </c:pt>
                <c:pt idx="40">
                  <c:v>7.17</c:v>
                </c:pt>
                <c:pt idx="41">
                  <c:v>7.48</c:v>
                </c:pt>
                <c:pt idx="42">
                  <c:v>7.04</c:v>
                </c:pt>
                <c:pt idx="43">
                  <c:v>6.72</c:v>
                </c:pt>
                <c:pt idx="44">
                  <c:v>6.9</c:v>
                </c:pt>
                <c:pt idx="45">
                  <c:v>6.56</c:v>
                </c:pt>
                <c:pt idx="46">
                  <c:v>6.5</c:v>
                </c:pt>
                <c:pt idx="47">
                  <c:v>5.99</c:v>
                </c:pt>
                <c:pt idx="48" formatCode="0.0">
                  <c:v>5.71</c:v>
                </c:pt>
                <c:pt idx="49" formatCode="0.0">
                  <c:v>5.37</c:v>
                </c:pt>
                <c:pt idx="50" formatCode="0.0">
                  <c:v>5.0999999999999996</c:v>
                </c:pt>
              </c:numCache>
            </c:numRef>
          </c:val>
          <c:smooth val="0"/>
          <c:extLst>
            <c:ext xmlns:c16="http://schemas.microsoft.com/office/drawing/2014/chart" uri="{C3380CC4-5D6E-409C-BE32-E72D297353CC}">
              <c16:uniqueId val="{00000002-7836-4885-B54F-9A06B70FFD6B}"/>
            </c:ext>
          </c:extLst>
        </c:ser>
        <c:dLbls>
          <c:showLegendKey val="0"/>
          <c:showVal val="0"/>
          <c:showCatName val="0"/>
          <c:showSerName val="0"/>
          <c:showPercent val="0"/>
          <c:showBubbleSize val="0"/>
        </c:dLbls>
        <c:marker val="1"/>
        <c:smooth val="0"/>
        <c:axId val="295683968"/>
        <c:axId val="295682432"/>
      </c:lineChart>
      <c:catAx>
        <c:axId val="295666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667968"/>
        <c:crosses val="autoZero"/>
        <c:auto val="0"/>
        <c:lblAlgn val="ctr"/>
        <c:lblOffset val="100"/>
        <c:noMultiLvlLbl val="1"/>
      </c:catAx>
      <c:valAx>
        <c:axId val="295667968"/>
        <c:scaling>
          <c:orientation val="minMax"/>
          <c:max val="700"/>
          <c:min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800" b="0" i="0" baseline="0">
                    <a:effectLst/>
                  </a:rPr>
                  <a:t>Դրամ մեկ միավոր արտարժույթի դիմաց</a:t>
                </a:r>
                <a:endParaRPr lang="en-US" sz="800">
                  <a:effectLst/>
                </a:endParaRP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26785500733E-3"/>
              <c:y val="6.2146766970113863E-2"/>
            </c:manualLayout>
          </c:layout>
          <c:overlay val="0"/>
          <c:spPr>
            <a:noFill/>
            <a:ln>
              <a:noFill/>
            </a:ln>
            <a:effectLst/>
          </c:spPr>
        </c:title>
        <c:numFmt formatCode="_(* #,##0_);_(* \(#,##0\);_(* &quot;-&quot;??_);_(@_)"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666432"/>
        <c:crossesAt val="43838"/>
        <c:crossBetween val="between"/>
      </c:valAx>
      <c:valAx>
        <c:axId val="295682432"/>
        <c:scaling>
          <c:orientation val="minMax"/>
        </c:scaling>
        <c:delete val="0"/>
        <c:axPos val="r"/>
        <c:numFmt formatCode="_(* #,##0_);_(* \(#,##0\);_(* &quot;-&quot;??_);_(@_)" sourceLinked="1"/>
        <c:majorTickMark val="out"/>
        <c:minorTickMark val="none"/>
        <c:tickLblPos val="nextTo"/>
        <c:txPr>
          <a:bodyPr/>
          <a:lstStyle/>
          <a:p>
            <a:pPr>
              <a:defRPr sz="900">
                <a:solidFill>
                  <a:schemeClr val="tx1">
                    <a:lumMod val="65000"/>
                    <a:lumOff val="35000"/>
                  </a:schemeClr>
                </a:solidFill>
                <a:latin typeface="GHEA Grapalat" panose="02000506050000020003" pitchFamily="50" charset="0"/>
              </a:defRPr>
            </a:pPr>
            <a:endParaRPr lang="en-US"/>
          </a:p>
        </c:txPr>
        <c:crossAx val="295683968"/>
        <c:crosses val="max"/>
        <c:crossBetween val="between"/>
      </c:valAx>
      <c:catAx>
        <c:axId val="295683968"/>
        <c:scaling>
          <c:orientation val="minMax"/>
        </c:scaling>
        <c:delete val="1"/>
        <c:axPos val="b"/>
        <c:numFmt formatCode="General" sourceLinked="1"/>
        <c:majorTickMark val="out"/>
        <c:minorTickMark val="none"/>
        <c:tickLblPos val="nextTo"/>
        <c:crossAx val="29568243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5108344015141"/>
          <c:y val="3.6326239889158833E-2"/>
          <c:w val="0.78231856192394555"/>
          <c:h val="0.69599078925543234"/>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0.0</c:formatCode>
                <c:ptCount val="51"/>
                <c:pt idx="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183.02568218298561</c:v>
                </c:pt>
                <c:pt idx="49">
                  <c:v>188.73194221508834</c:v>
                </c:pt>
                <c:pt idx="50">
                  <c:v>192.25521669341902</c:v>
                </c:pt>
              </c:numCache>
            </c:numRef>
          </c:val>
          <c:smooth val="0"/>
          <c:extLst>
            <c:ext xmlns:c16="http://schemas.microsoft.com/office/drawing/2014/chart" uri="{C3380CC4-5D6E-409C-BE32-E72D297353CC}">
              <c16:uniqueId val="{00000000-42DE-4A03-AA30-7DA23A5CF69F}"/>
            </c:ext>
          </c:extLst>
        </c:ser>
        <c:ser>
          <c:idx val="1"/>
          <c:order val="1"/>
          <c:tx>
            <c:strRef>
              <c:f>Sheet1!$C$1</c:f>
              <c:strCache>
                <c:ptCount val="1"/>
                <c:pt idx="0">
                  <c:v>Անվանական</c:v>
                </c:pt>
              </c:strCache>
            </c:strRef>
          </c:tx>
          <c:spPr>
            <a:ln w="28575"/>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0.0</c:formatCode>
                <c:ptCount val="51"/>
                <c:pt idx="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206.67418422721832</c:v>
                </c:pt>
                <c:pt idx="49">
                  <c:v>213.91923320882375</c:v>
                </c:pt>
                <c:pt idx="50">
                  <c:v>220.30446120233989</c:v>
                </c:pt>
              </c:numCache>
            </c:numRef>
          </c:val>
          <c:smooth val="0"/>
          <c:extLst>
            <c:ext xmlns:c16="http://schemas.microsoft.com/office/drawing/2014/chart" uri="{C3380CC4-5D6E-409C-BE32-E72D297353CC}">
              <c16:uniqueId val="{00000001-42DE-4A03-AA30-7DA23A5CF69F}"/>
            </c:ext>
          </c:extLst>
        </c:ser>
        <c:dLbls>
          <c:showLegendKey val="0"/>
          <c:showVal val="0"/>
          <c:showCatName val="0"/>
          <c:showSerName val="0"/>
          <c:showPercent val="0"/>
          <c:showBubbleSize val="0"/>
        </c:dLbls>
        <c:smooth val="0"/>
        <c:axId val="295256064"/>
        <c:axId val="295257600"/>
      </c:lineChart>
      <c:catAx>
        <c:axId val="295256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257600"/>
        <c:crosses val="autoZero"/>
        <c:auto val="0"/>
        <c:lblAlgn val="ctr"/>
        <c:lblOffset val="100"/>
        <c:noMultiLvlLbl val="0"/>
      </c:catAx>
      <c:valAx>
        <c:axId val="295257600"/>
        <c:scaling>
          <c:orientation val="minMax"/>
          <c:max val="210"/>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baseline="0">
                    <a:effectLst/>
                  </a:rPr>
                  <a:t>Ինդեքս, 2018-ի հունվարը՝ 100</a:t>
                </a:r>
                <a:endParaRPr lang="en-US" sz="800">
                  <a:effectLst/>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256064"/>
        <c:crosses val="autoZero"/>
        <c:crossBetween val="between"/>
      </c:valAx>
      <c:spPr>
        <a:solidFill>
          <a:sysClr val="window" lastClr="FFFFFF"/>
        </a:solidFill>
        <a:ln>
          <a:noFill/>
        </a:ln>
        <a:effectLst/>
      </c:spPr>
    </c:plotArea>
    <c:legend>
      <c:legendPos val="b"/>
      <c:layout>
        <c:manualLayout>
          <c:xMode val="edge"/>
          <c:yMode val="edge"/>
          <c:x val="9.2519379844961253E-2"/>
          <c:y val="0.91945359989852571"/>
          <c:w val="0.84656595251174982"/>
          <c:h val="7.765711442203553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թ․-</a:t>
            </a:r>
            <a:r>
              <a:rPr lang="en-US" b="0"/>
              <a:t>20</a:t>
            </a:r>
            <a:r>
              <a:rPr lang="hy-AM" b="0"/>
              <a:t>2</a:t>
            </a:r>
            <a:r>
              <a:rPr lang="en-US" b="0"/>
              <a:t>3թ</a:t>
            </a:r>
            <a:r>
              <a:rPr lang="hy-AM" b="0"/>
              <a:t>․ մարտ</a:t>
            </a:r>
            <a:endParaRPr lang="en-US" b="0"/>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A309-4069-A886-1247C4EA3D0D}"/>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A309-4069-A886-1247C4EA3D0D}"/>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A309-4069-A886-1247C4EA3D0D}"/>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A309-4069-A886-1247C4EA3D0D}"/>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A309-4069-A886-1247C4EA3D0D}"/>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09-4069-A886-1247C4EA3D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5.6979284394144969</c:v>
                </c:pt>
                <c:pt idx="1">
                  <c:v>5.2865854045653293</c:v>
                </c:pt>
                <c:pt idx="2">
                  <c:v>7.6282926737736716</c:v>
                </c:pt>
              </c:numCache>
            </c:numRef>
          </c:val>
          <c:smooth val="0"/>
          <c:extLst>
            <c:ext xmlns:c16="http://schemas.microsoft.com/office/drawing/2014/chart" uri="{C3380CC4-5D6E-409C-BE32-E72D297353CC}">
              <c16:uniqueId val="{00000006-A309-4069-A886-1247C4EA3D0D}"/>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309-4069-A886-1247C4EA3D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14.871205328911955</c:v>
                </c:pt>
                <c:pt idx="1">
                  <c:v>14.651880416482072</c:v>
                </c:pt>
                <c:pt idx="2">
                  <c:v>17.153257817582684</c:v>
                </c:pt>
              </c:numCache>
            </c:numRef>
          </c:val>
          <c:smooth val="0"/>
          <c:extLst>
            <c:ext xmlns:c16="http://schemas.microsoft.com/office/drawing/2014/chart" uri="{C3380CC4-5D6E-409C-BE32-E72D297353CC}">
              <c16:uniqueId val="{00000008-A309-4069-A886-1247C4EA3D0D}"/>
            </c:ext>
          </c:extLst>
        </c:ser>
        <c:dLbls>
          <c:showLegendKey val="0"/>
          <c:showVal val="0"/>
          <c:showCatName val="0"/>
          <c:showSerName val="0"/>
          <c:showPercent val="0"/>
          <c:showBubbleSize val="0"/>
        </c:dLbls>
        <c:marker val="1"/>
        <c:smooth val="0"/>
        <c:axId val="294935552"/>
        <c:axId val="294953728"/>
      </c:lineChart>
      <c:catAx>
        <c:axId val="294935552"/>
        <c:scaling>
          <c:orientation val="minMax"/>
        </c:scaling>
        <c:delete val="0"/>
        <c:axPos val="b"/>
        <c:numFmt formatCode="General" sourceLinked="1"/>
        <c:majorTickMark val="out"/>
        <c:minorTickMark val="none"/>
        <c:tickLblPos val="low"/>
        <c:crossAx val="294953728"/>
        <c:crosses val="autoZero"/>
        <c:auto val="1"/>
        <c:lblAlgn val="ctr"/>
        <c:lblOffset val="400"/>
        <c:noMultiLvlLbl val="0"/>
      </c:catAx>
      <c:valAx>
        <c:axId val="294953728"/>
        <c:scaling>
          <c:orientation val="minMax"/>
          <c:min val="-10"/>
        </c:scaling>
        <c:delete val="0"/>
        <c:axPos val="l"/>
        <c:numFmt formatCode="0.0" sourceLinked="1"/>
        <c:majorTickMark val="out"/>
        <c:minorTickMark val="none"/>
        <c:tickLblPos val="nextTo"/>
        <c:crossAx val="294935552"/>
        <c:crosses val="autoZero"/>
        <c:crossBetween val="between"/>
      </c:valAx>
    </c:plotArea>
    <c:legend>
      <c:legendPos val="r"/>
      <c:layout>
        <c:manualLayout>
          <c:xMode val="edge"/>
          <c:yMode val="edge"/>
          <c:x val="1.6617922759655041E-2"/>
          <c:y val="0.80973701135040244"/>
          <c:w val="0.92972118510385693"/>
          <c:h val="0.19026295913672311"/>
        </c:manualLayout>
      </c:layout>
      <c:overlay val="0"/>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22թ․-</a:t>
            </a:r>
            <a:r>
              <a:rPr lang="en-US" b="0"/>
              <a:t>20</a:t>
            </a:r>
            <a:r>
              <a:rPr lang="hy-AM" b="0"/>
              <a:t>23</a:t>
            </a:r>
            <a:r>
              <a:rPr lang="en-US" b="0"/>
              <a:t>թ</a:t>
            </a:r>
            <a:r>
              <a:rPr lang="en-US" sz="1080" b="0" i="0" u="none" strike="noStrike" kern="1200" baseline="0">
                <a:solidFill>
                  <a:sysClr val="windowText" lastClr="000000"/>
                </a:solidFill>
                <a:latin typeface="GHEA Grapalat" panose="02000506050000020003" pitchFamily="50" charset="0"/>
                <a:ea typeface="+mn-ea"/>
                <a:cs typeface="+mn-cs"/>
              </a:rPr>
              <a:t>.</a:t>
            </a:r>
            <a:r>
              <a:rPr lang="hy-AM" sz="1080" b="0" i="0" u="none" strike="noStrike" kern="1200" baseline="0">
                <a:solidFill>
                  <a:sysClr val="windowText" lastClr="000000"/>
                </a:solidFill>
                <a:latin typeface="GHEA Grapalat" panose="02000506050000020003" pitchFamily="50" charset="0"/>
                <a:ea typeface="+mn-ea"/>
                <a:cs typeface="+mn-cs"/>
              </a:rPr>
              <a:t> մարտ</a:t>
            </a:r>
            <a:r>
              <a:rPr lang="en-US" b="0"/>
              <a:t> </a:t>
            </a:r>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95C7-4200-8685-C407C7A3039C}"/>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95C7-4200-8685-C407C7A3039C}"/>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95C7-4200-8685-C407C7A3039C}"/>
            </c:ext>
          </c:extLst>
        </c:ser>
        <c:ser>
          <c:idx val="3"/>
          <c:order val="3"/>
          <c:tx>
            <c:strRef>
              <c:f>Sheet1!$E$1</c:f>
              <c:strCache>
                <c:ptCount val="1"/>
                <c:pt idx="0">
                  <c:v>2022</c:v>
                </c:pt>
              </c:strCache>
            </c:strRef>
          </c:tx>
          <c:spPr>
            <a:ln>
              <a:solidFill>
                <a:srgbClr val="5B9BD5"/>
              </a:solidFill>
            </a:ln>
          </c:spPr>
          <c:marker>
            <c:symbol val="circle"/>
            <c:size val="5"/>
            <c:spPr>
              <a:solidFill>
                <a:srgbClr val="5B9BD5"/>
              </a:solidFill>
              <a:ln>
                <a:no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95C7-4200-8685-C407C7A3039C}"/>
            </c:ext>
          </c:extLst>
        </c:ser>
        <c:ser>
          <c:idx val="4"/>
          <c:order val="4"/>
          <c:tx>
            <c:strRef>
              <c:f>Sheet1!$F$1</c:f>
              <c:strCache>
                <c:ptCount val="1"/>
                <c:pt idx="0">
                  <c:v>2022 (առանց դրամի արժևորման)</c:v>
                </c:pt>
              </c:strCache>
            </c:strRef>
          </c:tx>
          <c:spPr>
            <a:ln>
              <a:solidFill>
                <a:srgbClr val="5B9BD5"/>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4-95C7-4200-8685-C407C7A3039C}"/>
            </c:ext>
          </c:extLst>
        </c:ser>
        <c:ser>
          <c:idx val="5"/>
          <c:order val="5"/>
          <c:tx>
            <c:strRef>
              <c:f>Sheet1!$G$1</c:f>
              <c:strCache>
                <c:ptCount val="1"/>
                <c:pt idx="0">
                  <c:v>2023</c:v>
                </c:pt>
              </c:strCache>
            </c:strRef>
          </c:tx>
          <c:spPr>
            <a:ln>
              <a:solidFill>
                <a:srgbClr val="C00000"/>
              </a:solidFill>
            </a:ln>
          </c:spPr>
          <c:marker>
            <c:symbol val="circle"/>
            <c:size val="5"/>
            <c:spPr>
              <a:solidFill>
                <a:srgbClr val="C00000"/>
              </a:solidFill>
              <a:ln>
                <a:noFill/>
              </a:ln>
            </c:spPr>
          </c:marker>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5C7-4200-8685-C407C7A3039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17.058475215913887</c:v>
                </c:pt>
                <c:pt idx="1">
                  <c:v>17.790752935177849</c:v>
                </c:pt>
                <c:pt idx="2">
                  <c:v>20.812154357016539</c:v>
                </c:pt>
              </c:numCache>
            </c:numRef>
          </c:val>
          <c:smooth val="0"/>
          <c:extLst>
            <c:ext xmlns:c16="http://schemas.microsoft.com/office/drawing/2014/chart" uri="{C3380CC4-5D6E-409C-BE32-E72D297353CC}">
              <c16:uniqueId val="{00000006-95C7-4200-8685-C407C7A3039C}"/>
            </c:ext>
          </c:extLst>
        </c:ser>
        <c:ser>
          <c:idx val="6"/>
          <c:order val="6"/>
          <c:tx>
            <c:strRef>
              <c:f>Sheet1!$H$1</c:f>
              <c:strCache>
                <c:ptCount val="1"/>
                <c:pt idx="0">
                  <c:v>2023 (առանց դրամի արժևորման)</c:v>
                </c:pt>
              </c:strCache>
            </c:strRef>
          </c:tx>
          <c:spPr>
            <a:ln>
              <a:solidFill>
                <a:srgbClr val="C00000"/>
              </a:solidFill>
              <a:prstDash val="dash"/>
            </a:ln>
          </c:spPr>
          <c:marker>
            <c:symbol val="none"/>
          </c:marker>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5C7-4200-8685-C407C7A3039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28.542555646010214</c:v>
                </c:pt>
                <c:pt idx="1">
                  <c:v>30.451273883964745</c:v>
                </c:pt>
                <c:pt idx="2">
                  <c:v>33.950582880075984</c:v>
                </c:pt>
              </c:numCache>
            </c:numRef>
          </c:val>
          <c:smooth val="0"/>
          <c:extLst>
            <c:ext xmlns:c16="http://schemas.microsoft.com/office/drawing/2014/chart" uri="{C3380CC4-5D6E-409C-BE32-E72D297353CC}">
              <c16:uniqueId val="{00000008-95C7-4200-8685-C407C7A3039C}"/>
            </c:ext>
          </c:extLst>
        </c:ser>
        <c:dLbls>
          <c:showLegendKey val="0"/>
          <c:showVal val="0"/>
          <c:showCatName val="0"/>
          <c:showSerName val="0"/>
          <c:showPercent val="0"/>
          <c:showBubbleSize val="0"/>
        </c:dLbls>
        <c:marker val="1"/>
        <c:smooth val="0"/>
        <c:axId val="295598336"/>
        <c:axId val="295612416"/>
      </c:lineChart>
      <c:catAx>
        <c:axId val="295598336"/>
        <c:scaling>
          <c:orientation val="minMax"/>
        </c:scaling>
        <c:delete val="0"/>
        <c:axPos val="b"/>
        <c:numFmt formatCode="General" sourceLinked="1"/>
        <c:majorTickMark val="out"/>
        <c:minorTickMark val="none"/>
        <c:tickLblPos val="nextTo"/>
        <c:txPr>
          <a:bodyPr rot="0" vert="horz"/>
          <a:lstStyle/>
          <a:p>
            <a:pPr>
              <a:defRPr/>
            </a:pPr>
            <a:endParaRPr lang="en-US"/>
          </a:p>
        </c:txPr>
        <c:crossAx val="295612416"/>
        <c:crosses val="autoZero"/>
        <c:auto val="1"/>
        <c:lblAlgn val="ctr"/>
        <c:lblOffset val="100"/>
        <c:noMultiLvlLbl val="0"/>
      </c:catAx>
      <c:valAx>
        <c:axId val="295612416"/>
        <c:scaling>
          <c:orientation val="minMax"/>
        </c:scaling>
        <c:delete val="0"/>
        <c:axPos val="l"/>
        <c:numFmt formatCode="0.0" sourceLinked="1"/>
        <c:majorTickMark val="out"/>
        <c:minorTickMark val="none"/>
        <c:tickLblPos val="nextTo"/>
        <c:crossAx val="295598336"/>
        <c:crosses val="autoZero"/>
        <c:crossBetween val="between"/>
      </c:valAx>
    </c:plotArea>
    <c:legend>
      <c:legendPos val="r"/>
      <c:layout>
        <c:manualLayout>
          <c:xMode val="edge"/>
          <c:yMode val="edge"/>
          <c:x val="5.9308102616205234E-2"/>
          <c:y val="0.78649715297215739"/>
          <c:w val="0.79112395704841809"/>
          <c:h val="0.21350267820712046"/>
        </c:manualLayout>
      </c:layout>
      <c:overlay val="0"/>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7304273883"/>
          <c:y val="0"/>
        </c:manualLayout>
      </c:layout>
      <c:overlay val="0"/>
      <c:spPr>
        <a:noFill/>
        <a:ln>
          <a:noFill/>
        </a:ln>
        <a:effectLst/>
      </c:spPr>
    </c:title>
    <c:autoTitleDeleted val="0"/>
    <c:plotArea>
      <c:layout>
        <c:manualLayout>
          <c:layoutTarget val="inner"/>
          <c:xMode val="edge"/>
          <c:yMode val="edge"/>
          <c:x val="0.19075461361722307"/>
          <c:y val="0.16673603299587553"/>
          <c:w val="0.66364134389743334"/>
          <c:h val="0.49505280589926259"/>
        </c:manualLayout>
      </c:layout>
      <c:areaChart>
        <c:grouping val="standard"/>
        <c:varyColors val="0"/>
        <c:ser>
          <c:idx val="5"/>
          <c:order val="5"/>
          <c:tx>
            <c:strRef>
              <c:f>Sheet1!$G$1</c:f>
              <c:strCache>
                <c:ptCount val="1"/>
                <c:pt idx="0">
                  <c:v>Column1</c:v>
                </c:pt>
              </c:strCache>
            </c:strRef>
          </c:tx>
          <c:spPr>
            <a:solidFill>
              <a:schemeClr val="accent6"/>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Sheet1!$G$2:$G$65</c:f>
              <c:numCache>
                <c:formatCode>General</c:formatCode>
                <c:ptCount val="20"/>
                <c:pt idx="17" formatCode="0.0">
                  <c:v>0</c:v>
                </c:pt>
                <c:pt idx="18" formatCode="0.0">
                  <c:v>0</c:v>
                </c:pt>
                <c:pt idx="19" formatCode="0.0">
                  <c:v>0</c:v>
                </c:pt>
              </c:numCache>
            </c:numRef>
          </c:val>
          <c:extLst>
            <c:ext xmlns:c16="http://schemas.microsoft.com/office/drawing/2014/chart" uri="{C3380CC4-5D6E-409C-BE32-E72D297353CC}">
              <c16:uniqueId val="{00000000-7C21-4261-9930-0CA0F079E2F0}"/>
            </c:ext>
          </c:extLst>
        </c:ser>
        <c:ser>
          <c:idx val="6"/>
          <c:order val="6"/>
          <c:tx>
            <c:strRef>
              <c:f>Sheet1!$H$1</c:f>
              <c:strCache>
                <c:ptCount val="1"/>
                <c:pt idx="0">
                  <c:v>Column2</c:v>
                </c:pt>
              </c:strCache>
            </c:strRef>
          </c:tx>
          <c:spPr>
            <a:solidFill>
              <a:schemeClr val="tx2">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Sheet1!$H$2:$H$65</c:f>
              <c:numCache>
                <c:formatCode>General</c:formatCode>
                <c:ptCount val="20"/>
                <c:pt idx="17" formatCode="0.0">
                  <c:v>5000</c:v>
                </c:pt>
                <c:pt idx="18" formatCode="0.0">
                  <c:v>5000</c:v>
                </c:pt>
                <c:pt idx="19" formatCode="0.0">
                  <c:v>5000</c:v>
                </c:pt>
              </c:numCache>
            </c:numRef>
          </c:val>
          <c:extLst>
            <c:ext xmlns:c16="http://schemas.microsoft.com/office/drawing/2014/chart" uri="{C3380CC4-5D6E-409C-BE32-E72D297353CC}">
              <c16:uniqueId val="{00000001-7C21-4261-9930-0CA0F079E2F0}"/>
            </c:ext>
          </c:extLst>
        </c:ser>
        <c:dLbls>
          <c:showLegendKey val="0"/>
          <c:showVal val="0"/>
          <c:showCatName val="0"/>
          <c:showSerName val="0"/>
          <c:showPercent val="0"/>
          <c:showBubbleSize val="0"/>
        </c:dLbls>
        <c:axId val="295777408"/>
        <c:axId val="295778944"/>
      </c:areaChart>
      <c:barChart>
        <c:barDir val="col"/>
        <c:grouping val="stacked"/>
        <c:varyColors val="0"/>
        <c:ser>
          <c:idx val="0"/>
          <c:order val="0"/>
          <c:tx>
            <c:strRef>
              <c:f>Sheet1!$B$1</c:f>
              <c:strCache>
                <c:ptCount val="1"/>
                <c:pt idx="0">
                  <c:v>Տնտեսության ճյուղերին ուղղված վարկեր</c:v>
                </c:pt>
              </c:strCache>
            </c:strRef>
          </c:tx>
          <c:spPr>
            <a:solidFill>
              <a:schemeClr val="accent1"/>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7">
                  <c:v>1898.2072097606699</c:v>
                </c:pt>
                <c:pt idx="18">
                  <c:v>1907.5354143012</c:v>
                </c:pt>
                <c:pt idx="19">
                  <c:v>1952.0819837726899</c:v>
                </c:pt>
              </c:numCache>
            </c:numRef>
          </c:val>
          <c:extLst>
            <c:ext xmlns:c16="http://schemas.microsoft.com/office/drawing/2014/chart" uri="{C3380CC4-5D6E-409C-BE32-E72D297353CC}">
              <c16:uniqueId val="{00000002-7C21-4261-9930-0CA0F079E2F0}"/>
            </c:ext>
          </c:extLst>
        </c:ser>
        <c:ser>
          <c:idx val="1"/>
          <c:order val="1"/>
          <c:tx>
            <c:strRef>
              <c:f>Sheet1!$C$1</c:f>
              <c:strCache>
                <c:ptCount val="1"/>
                <c:pt idx="0">
                  <c:v>Սպառողական վարկեր</c:v>
                </c:pt>
              </c:strCache>
            </c:strRef>
          </c:tx>
          <c:spPr>
            <a:solidFill>
              <a:schemeClr val="accent2"/>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7">
                  <c:v>904.14761070905001</c:v>
                </c:pt>
                <c:pt idx="18">
                  <c:v>907.55983963213998</c:v>
                </c:pt>
                <c:pt idx="19">
                  <c:v>928.58755423187995</c:v>
                </c:pt>
              </c:numCache>
            </c:numRef>
          </c:val>
          <c:extLst>
            <c:ext xmlns:c16="http://schemas.microsoft.com/office/drawing/2014/chart" uri="{C3380CC4-5D6E-409C-BE32-E72D297353CC}">
              <c16:uniqueId val="{00000003-7C21-4261-9930-0CA0F079E2F0}"/>
            </c:ext>
          </c:extLst>
        </c:ser>
        <c:ser>
          <c:idx val="2"/>
          <c:order val="2"/>
          <c:tx>
            <c:strRef>
              <c:f>Sheet1!$D$1</c:f>
              <c:strCache>
                <c:ptCount val="1"/>
                <c:pt idx="0">
                  <c:v>Հիպոթեքային վարկեր</c:v>
                </c:pt>
              </c:strCache>
            </c:strRef>
          </c:tx>
          <c:spPr>
            <a:solidFill>
              <a:schemeClr val="accent3"/>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c:formatCode>
                <c:ptCount val="20"/>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7">
                  <c:v>860.18535169768643</c:v>
                </c:pt>
                <c:pt idx="18">
                  <c:v>874.13162369860447</c:v>
                </c:pt>
                <c:pt idx="19">
                  <c:v>897.7484755981593</c:v>
                </c:pt>
              </c:numCache>
            </c:numRef>
          </c:val>
          <c:extLst>
            <c:ext xmlns:c16="http://schemas.microsoft.com/office/drawing/2014/chart" uri="{C3380CC4-5D6E-409C-BE32-E72D297353CC}">
              <c16:uniqueId val="{00000004-7C21-4261-9930-0CA0F079E2F0}"/>
            </c:ext>
          </c:extLst>
        </c:ser>
        <c:ser>
          <c:idx val="3"/>
          <c:order val="3"/>
          <c:tx>
            <c:strRef>
              <c:f>Sheet1!$E$1</c:f>
              <c:strCache>
                <c:ptCount val="1"/>
                <c:pt idx="0">
                  <c:v>Այլ</c:v>
                </c:pt>
              </c:strCache>
            </c:strRef>
          </c:tx>
          <c:spPr>
            <a:solidFill>
              <a:schemeClr val="accent4"/>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0.0</c:formatCode>
                <c:ptCount val="20"/>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7">
                  <c:v>153.97926830428</c:v>
                </c:pt>
                <c:pt idx="18">
                  <c:v>159.95668633957999</c:v>
                </c:pt>
                <c:pt idx="19">
                  <c:v>166.44938810615997</c:v>
                </c:pt>
              </c:numCache>
            </c:numRef>
          </c:val>
          <c:extLst>
            <c:ext xmlns:c16="http://schemas.microsoft.com/office/drawing/2014/chart" uri="{C3380CC4-5D6E-409C-BE32-E72D297353CC}">
              <c16:uniqueId val="{00000005-7C21-4261-9930-0CA0F079E2F0}"/>
            </c:ext>
          </c:extLst>
        </c:ser>
        <c:dLbls>
          <c:showLegendKey val="0"/>
          <c:showVal val="0"/>
          <c:showCatName val="0"/>
          <c:showSerName val="0"/>
          <c:showPercent val="0"/>
          <c:showBubbleSize val="0"/>
        </c:dLbls>
        <c:gapWidth val="150"/>
        <c:overlap val="100"/>
        <c:axId val="295777408"/>
        <c:axId val="295778944"/>
      </c:barChart>
      <c:lineChart>
        <c:grouping val="standard"/>
        <c:varyColors val="0"/>
        <c:ser>
          <c:idx val="4"/>
          <c:order val="4"/>
          <c:tx>
            <c:strRef>
              <c:f>Sheet1!$F$1</c:f>
              <c:strCache>
                <c:ptCount val="1"/>
                <c:pt idx="0">
                  <c:v>Դոլարայնացում (%, աջ առանցք)</c:v>
                </c:pt>
              </c:strCache>
            </c:strRef>
          </c:tx>
          <c:spPr>
            <a:ln w="28575" cap="rnd">
              <a:solidFill>
                <a:schemeClr val="accent5"/>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0.0</c:formatCode>
                <c:ptCount val="20"/>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7">
                  <c:v>35.550047214509988</c:v>
                </c:pt>
                <c:pt idx="18">
                  <c:v>35.3894453974657</c:v>
                </c:pt>
                <c:pt idx="19">
                  <c:v>35.416563649843262</c:v>
                </c:pt>
              </c:numCache>
            </c:numRef>
          </c:val>
          <c:smooth val="0"/>
          <c:extLst>
            <c:ext xmlns:c16="http://schemas.microsoft.com/office/drawing/2014/chart" uri="{C3380CC4-5D6E-409C-BE32-E72D297353CC}">
              <c16:uniqueId val="{00000006-7C21-4261-9930-0CA0F079E2F0}"/>
            </c:ext>
          </c:extLst>
        </c:ser>
        <c:dLbls>
          <c:showLegendKey val="0"/>
          <c:showVal val="0"/>
          <c:showCatName val="0"/>
          <c:showSerName val="0"/>
          <c:showPercent val="0"/>
          <c:showBubbleSize val="0"/>
        </c:dLbls>
        <c:marker val="1"/>
        <c:smooth val="0"/>
        <c:axId val="295782272"/>
        <c:axId val="295780736"/>
      </c:lineChart>
      <c:catAx>
        <c:axId val="2957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778944"/>
        <c:crosses val="autoZero"/>
        <c:auto val="1"/>
        <c:lblAlgn val="ctr"/>
        <c:lblOffset val="100"/>
        <c:noMultiLvlLbl val="0"/>
      </c:catAx>
      <c:valAx>
        <c:axId val="295778944"/>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777408"/>
        <c:crosses val="autoZero"/>
        <c:crossBetween val="between"/>
      </c:valAx>
      <c:valAx>
        <c:axId val="2957807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782272"/>
        <c:crosses val="max"/>
        <c:crossBetween val="between"/>
      </c:valAx>
      <c:catAx>
        <c:axId val="295782272"/>
        <c:scaling>
          <c:orientation val="minMax"/>
        </c:scaling>
        <c:delete val="1"/>
        <c:axPos val="b"/>
        <c:numFmt formatCode="General" sourceLinked="1"/>
        <c:majorTickMark val="out"/>
        <c:minorTickMark val="none"/>
        <c:tickLblPos val="nextTo"/>
        <c:crossAx val="295780736"/>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0.13463023609700689"/>
          <c:y val="0.20867183575002257"/>
          <c:w val="0.8222494189402334"/>
          <c:h val="0.50238255460358205"/>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General</c:formatCode>
                <c:ptCount val="51"/>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
                  <c:v>4.33</c:v>
                </c:pt>
                <c:pt idx="49" formatCode="0.0">
                  <c:v>4.57</c:v>
                </c:pt>
                <c:pt idx="50" formatCode="0.0">
                  <c:v>5</c:v>
                </c:pt>
              </c:numCache>
            </c:numRef>
          </c:val>
          <c:smooth val="0"/>
          <c:extLst>
            <c:ext xmlns:c16="http://schemas.microsoft.com/office/drawing/2014/chart" uri="{C3380CC4-5D6E-409C-BE32-E72D297353CC}">
              <c16:uniqueId val="{00000000-346A-427B-8029-C2F0A54BD673}"/>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1.25</c:v>
                </c:pt>
                <c:pt idx="45" formatCode="0.0">
                  <c:v>1.25</c:v>
                </c:pt>
                <c:pt idx="46">
                  <c:v>2</c:v>
                </c:pt>
                <c:pt idx="47">
                  <c:v>2.5</c:v>
                </c:pt>
                <c:pt idx="48" formatCode="0.0">
                  <c:v>2.5</c:v>
                </c:pt>
                <c:pt idx="49" formatCode="0.0">
                  <c:v>3</c:v>
                </c:pt>
                <c:pt idx="50">
                  <c:v>3.5</c:v>
                </c:pt>
              </c:numCache>
            </c:numRef>
          </c:val>
          <c:smooth val="0"/>
          <c:extLst>
            <c:ext xmlns:c16="http://schemas.microsoft.com/office/drawing/2014/chart" uri="{C3380CC4-5D6E-409C-BE32-E72D297353CC}">
              <c16:uniqueId val="{00000001-346A-427B-8029-C2F0A54BD673}"/>
            </c:ext>
          </c:extLst>
        </c:ser>
        <c:ser>
          <c:idx val="2"/>
          <c:order val="2"/>
          <c:tx>
            <c:strRef>
              <c:f>Sheet1!$D$1</c:f>
              <c:strCache>
                <c:ptCount val="1"/>
                <c:pt idx="0">
                  <c:v>Չինաստան</c:v>
                </c:pt>
              </c:strCache>
            </c:strRef>
          </c:tx>
          <c:spPr>
            <a:ln w="28575" cap="rnd">
              <a:solidFill>
                <a:schemeClr val="bg1">
                  <a:lumMod val="65000"/>
                </a:scheme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General</c:formatCode>
                <c:ptCount val="51"/>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numCache>
            </c:numRef>
          </c:val>
          <c:smooth val="0"/>
          <c:extLst>
            <c:ext xmlns:c16="http://schemas.microsoft.com/office/drawing/2014/chart" uri="{C3380CC4-5D6E-409C-BE32-E72D297353CC}">
              <c16:uniqueId val="{00000002-346A-427B-8029-C2F0A54BD673}"/>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Sheet1!$E$2:$E$64</c:f>
              <c:numCache>
                <c:formatCode>General</c:formatCode>
                <c:ptCount val="51"/>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
                  <c:v>7.5</c:v>
                </c:pt>
                <c:pt idx="49" formatCode="0.0">
                  <c:v>7.5</c:v>
                </c:pt>
                <c:pt idx="50" formatCode="0.0">
                  <c:v>7.5</c:v>
                </c:pt>
              </c:numCache>
            </c:numRef>
          </c:val>
          <c:smooth val="0"/>
          <c:extLst>
            <c:ext xmlns:c16="http://schemas.microsoft.com/office/drawing/2014/chart" uri="{C3380CC4-5D6E-409C-BE32-E72D297353CC}">
              <c16:uniqueId val="{00000003-346A-427B-8029-C2F0A54BD673}"/>
            </c:ext>
          </c:extLst>
        </c:ser>
        <c:dLbls>
          <c:showLegendKey val="0"/>
          <c:showVal val="0"/>
          <c:showCatName val="0"/>
          <c:showSerName val="0"/>
          <c:showPercent val="0"/>
          <c:showBubbleSize val="0"/>
        </c:dLbls>
        <c:smooth val="0"/>
        <c:axId val="253681664"/>
        <c:axId val="253683200"/>
      </c:lineChart>
      <c:catAx>
        <c:axId val="253681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83200"/>
        <c:crosses val="autoZero"/>
        <c:auto val="1"/>
        <c:lblAlgn val="ctr"/>
        <c:lblOffset val="100"/>
        <c:noMultiLvlLbl val="0"/>
      </c:catAx>
      <c:valAx>
        <c:axId val="253683200"/>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681664"/>
        <c:crosses val="autoZero"/>
        <c:crossBetween val="between"/>
      </c:valAx>
      <c:spPr>
        <a:noFill/>
        <a:ln w="25400">
          <a:noFill/>
        </a:ln>
      </c:spPr>
    </c:plotArea>
    <c:legend>
      <c:legendPos val="b"/>
      <c:layout>
        <c:manualLayout>
          <c:xMode val="edge"/>
          <c:yMode val="edge"/>
          <c:x val="8.1714239486564089E-2"/>
          <c:y val="0.92966780936495386"/>
          <c:w val="0.89999983292985897"/>
          <c:h val="7.0332597239542424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3917123998"/>
          <c:y val="0"/>
        </c:manualLayout>
      </c:layout>
      <c:overlay val="0"/>
      <c:spPr>
        <a:noFill/>
        <a:ln>
          <a:noFill/>
        </a:ln>
        <a:effectLst/>
      </c:spPr>
    </c:title>
    <c:autoTitleDeleted val="0"/>
    <c:plotArea>
      <c:layout>
        <c:manualLayout>
          <c:layoutTarget val="inner"/>
          <c:xMode val="edge"/>
          <c:yMode val="edge"/>
          <c:x val="0.18642106100373818"/>
          <c:y val="0.16673603299587553"/>
          <c:w val="0.67208717092181658"/>
          <c:h val="0.47087957755280591"/>
        </c:manualLayout>
      </c:layout>
      <c:areaChart>
        <c:grouping val="standard"/>
        <c:varyColors val="0"/>
        <c:ser>
          <c:idx val="3"/>
          <c:order val="3"/>
          <c:tx>
            <c:strRef>
              <c:f>Sheet1!$E$1</c:f>
              <c:strCache>
                <c:ptCount val="1"/>
                <c:pt idx="0">
                  <c:v>Column1</c:v>
                </c:pt>
              </c:strCache>
            </c:strRef>
          </c:tx>
          <c:spPr>
            <a:solidFill>
              <a:schemeClr val="accent4"/>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General</c:formatCode>
                <c:ptCount val="20"/>
                <c:pt idx="16">
                  <c:v>0</c:v>
                </c:pt>
                <c:pt idx="17">
                  <c:v>0</c:v>
                </c:pt>
                <c:pt idx="18">
                  <c:v>0</c:v>
                </c:pt>
                <c:pt idx="19">
                  <c:v>0</c:v>
                </c:pt>
              </c:numCache>
            </c:numRef>
          </c:val>
          <c:extLst>
            <c:ext xmlns:c16="http://schemas.microsoft.com/office/drawing/2014/chart" uri="{C3380CC4-5D6E-409C-BE32-E72D297353CC}">
              <c16:uniqueId val="{00000000-9155-48BE-BF8C-0F749AACA6F7}"/>
            </c:ext>
          </c:extLst>
        </c:ser>
        <c:ser>
          <c:idx val="4"/>
          <c:order val="4"/>
          <c:tx>
            <c:strRef>
              <c:f>Sheet1!$F$1</c:f>
              <c:strCache>
                <c:ptCount val="1"/>
                <c:pt idx="0">
                  <c:v>Column2</c:v>
                </c:pt>
              </c:strCache>
            </c:strRef>
          </c:tx>
          <c:spPr>
            <a:solidFill>
              <a:schemeClr val="tx2">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General</c:formatCode>
                <c:ptCount val="20"/>
                <c:pt idx="16">
                  <c:v>6000</c:v>
                </c:pt>
                <c:pt idx="17">
                  <c:v>6000</c:v>
                </c:pt>
                <c:pt idx="18">
                  <c:v>6000</c:v>
                </c:pt>
                <c:pt idx="19">
                  <c:v>6000</c:v>
                </c:pt>
              </c:numCache>
            </c:numRef>
          </c:val>
          <c:extLst>
            <c:ext xmlns:c16="http://schemas.microsoft.com/office/drawing/2014/chart" uri="{C3380CC4-5D6E-409C-BE32-E72D297353CC}">
              <c16:uniqueId val="{00000001-9155-48BE-BF8C-0F749AACA6F7}"/>
            </c:ext>
          </c:extLst>
        </c:ser>
        <c:dLbls>
          <c:showLegendKey val="0"/>
          <c:showVal val="0"/>
          <c:showCatName val="0"/>
          <c:showSerName val="0"/>
          <c:showPercent val="0"/>
          <c:showBubbleSize val="0"/>
        </c:dLbls>
        <c:axId val="295888384"/>
        <c:axId val="295889920"/>
      </c:areaChart>
      <c:barChart>
        <c:barDir val="col"/>
        <c:grouping val="stacked"/>
        <c:varyColors val="0"/>
        <c:ser>
          <c:idx val="0"/>
          <c:order val="0"/>
          <c:tx>
            <c:strRef>
              <c:f>Sheet1!$B$1</c:f>
              <c:strCache>
                <c:ptCount val="1"/>
                <c:pt idx="0">
                  <c:v>Ռեզիդենտների ավանդներ</c:v>
                </c:pt>
              </c:strCache>
            </c:strRef>
          </c:tx>
          <c:spPr>
            <a:solidFill>
              <a:schemeClr val="accent1"/>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7">
                  <c:v>3665.1061482680502</c:v>
                </c:pt>
                <c:pt idx="18">
                  <c:v>3745.55122119514</c:v>
                </c:pt>
                <c:pt idx="19">
                  <c:v>3815.1625054040496</c:v>
                </c:pt>
              </c:numCache>
            </c:numRef>
          </c:val>
          <c:extLst>
            <c:ext xmlns:c16="http://schemas.microsoft.com/office/drawing/2014/chart" uri="{C3380CC4-5D6E-409C-BE32-E72D297353CC}">
              <c16:uniqueId val="{00000002-9155-48BE-BF8C-0F749AACA6F7}"/>
            </c:ext>
          </c:extLst>
        </c:ser>
        <c:ser>
          <c:idx val="1"/>
          <c:order val="1"/>
          <c:tx>
            <c:strRef>
              <c:f>Sheet1!$C$1</c:f>
              <c:strCache>
                <c:ptCount val="1"/>
                <c:pt idx="0">
                  <c:v>Ոչ ռեզիդենտների ավանդներ</c:v>
                </c:pt>
              </c:strCache>
            </c:strRef>
          </c:tx>
          <c:spPr>
            <a:solidFill>
              <a:schemeClr val="accent2"/>
            </a:solidFill>
            <a:ln>
              <a:noFill/>
            </a:ln>
            <a:effectLst/>
          </c:spPr>
          <c:invertIfNegative val="0"/>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7">
                  <c:v>1414.7963488029397</c:v>
                </c:pt>
                <c:pt idx="18">
                  <c:v>1311.99044717628</c:v>
                </c:pt>
                <c:pt idx="19">
                  <c:v>1276.6676620578501</c:v>
                </c:pt>
              </c:numCache>
            </c:numRef>
          </c:val>
          <c:extLst>
            <c:ext xmlns:c16="http://schemas.microsoft.com/office/drawing/2014/chart" uri="{C3380CC4-5D6E-409C-BE32-E72D297353CC}">
              <c16:uniqueId val="{00000003-9155-48BE-BF8C-0F749AACA6F7}"/>
            </c:ext>
          </c:extLst>
        </c:ser>
        <c:dLbls>
          <c:showLegendKey val="0"/>
          <c:showVal val="0"/>
          <c:showCatName val="0"/>
          <c:showSerName val="0"/>
          <c:showPercent val="0"/>
          <c:showBubbleSize val="0"/>
        </c:dLbls>
        <c:gapWidth val="150"/>
        <c:overlap val="100"/>
        <c:axId val="295888384"/>
        <c:axId val="295889920"/>
      </c:barChart>
      <c:lineChart>
        <c:grouping val="standard"/>
        <c:varyColors val="0"/>
        <c:ser>
          <c:idx val="2"/>
          <c:order val="2"/>
          <c:tx>
            <c:strRef>
              <c:f>Sheet1!$D$1</c:f>
              <c:strCache>
                <c:ptCount val="1"/>
                <c:pt idx="0">
                  <c:v>Դոլարայնացում (%, աջ առանցք)</c:v>
                </c:pt>
              </c:strCache>
            </c:strRef>
          </c:tx>
          <c:spPr>
            <a:ln w="28575" cap="rnd">
              <a:solidFill>
                <a:schemeClr val="accent5"/>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0.0</c:formatCode>
                <c:ptCount val="20"/>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7">
                  <c:v>55.552452116975218</c:v>
                </c:pt>
                <c:pt idx="18">
                  <c:v>54.587474400963266</c:v>
                </c:pt>
                <c:pt idx="19">
                  <c:v>53.570558762946419</c:v>
                </c:pt>
              </c:numCache>
            </c:numRef>
          </c:val>
          <c:smooth val="0"/>
          <c:extLst>
            <c:ext xmlns:c16="http://schemas.microsoft.com/office/drawing/2014/chart" uri="{C3380CC4-5D6E-409C-BE32-E72D297353CC}">
              <c16:uniqueId val="{00000004-9155-48BE-BF8C-0F749AACA6F7}"/>
            </c:ext>
          </c:extLst>
        </c:ser>
        <c:dLbls>
          <c:showLegendKey val="0"/>
          <c:showVal val="0"/>
          <c:showCatName val="0"/>
          <c:showSerName val="0"/>
          <c:showPercent val="0"/>
          <c:showBubbleSize val="0"/>
        </c:dLbls>
        <c:marker val="1"/>
        <c:smooth val="0"/>
        <c:axId val="296188160"/>
        <c:axId val="296186624"/>
      </c:lineChart>
      <c:catAx>
        <c:axId val="2958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889920"/>
        <c:crosses val="autoZero"/>
        <c:auto val="1"/>
        <c:lblAlgn val="ctr"/>
        <c:lblOffset val="100"/>
        <c:noMultiLvlLbl val="0"/>
      </c:catAx>
      <c:valAx>
        <c:axId val="295889920"/>
        <c:scaling>
          <c:orientation val="minMax"/>
          <c:max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888384"/>
        <c:crosses val="autoZero"/>
        <c:crossBetween val="between"/>
      </c:valAx>
      <c:valAx>
        <c:axId val="296186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188160"/>
        <c:crosses val="max"/>
        <c:crossBetween val="between"/>
      </c:valAx>
      <c:catAx>
        <c:axId val="296188160"/>
        <c:scaling>
          <c:orientation val="minMax"/>
        </c:scaling>
        <c:delete val="1"/>
        <c:axPos val="b"/>
        <c:numFmt formatCode="General" sourceLinked="1"/>
        <c:majorTickMark val="out"/>
        <c:minorTickMark val="none"/>
        <c:tickLblPos val="nextTo"/>
        <c:crossAx val="29618662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layout/>
      <c:overlay val="0"/>
      <c:spPr>
        <a:noFill/>
        <a:ln>
          <a:noFill/>
        </a:ln>
        <a:effectLst/>
      </c:spPr>
    </c:title>
    <c:autoTitleDeleted val="0"/>
    <c:plotArea>
      <c:layout>
        <c:manualLayout>
          <c:layoutTarget val="inner"/>
          <c:xMode val="edge"/>
          <c:yMode val="edge"/>
          <c:x val="0.15888212480902575"/>
          <c:y val="0.14718253968253969"/>
          <c:w val="0.73668351157597833"/>
          <c:h val="0.53903230846144234"/>
        </c:manualLayout>
      </c:layout>
      <c:areaChart>
        <c:grouping val="standard"/>
        <c:varyColors val="0"/>
        <c:ser>
          <c:idx val="4"/>
          <c:order val="4"/>
          <c:tx>
            <c:strRef>
              <c:f>Sheet1!$F$1</c:f>
              <c:strCache>
                <c:ptCount val="1"/>
              </c:strCache>
            </c:strRef>
          </c:tx>
          <c:spPr>
            <a:solidFill>
              <a:schemeClr val="accent5"/>
            </a:solidFill>
            <a:ln>
              <a:noFill/>
            </a:ln>
            <a:effectLst/>
          </c:spPr>
          <c:cat>
            <c:strRef>
              <c:f>Sheet1!$A$2:$A$9</c:f>
              <c:strCache>
                <c:ptCount val="8"/>
                <c:pt idx="0">
                  <c:v>2018</c:v>
                </c:pt>
                <c:pt idx="1">
                  <c:v>2019</c:v>
                </c:pt>
                <c:pt idx="2">
                  <c:v>2020</c:v>
                </c:pt>
                <c:pt idx="3">
                  <c:v>2021</c:v>
                </c:pt>
                <c:pt idx="4">
                  <c:v>2022</c:v>
                </c:pt>
                <c:pt idx="6">
                  <c:v>2022 I եռ․</c:v>
                </c:pt>
                <c:pt idx="7">
                  <c:v>2023 I եռ․</c:v>
                </c:pt>
              </c:strCache>
            </c:strRef>
          </c:cat>
          <c:val>
            <c:numRef>
              <c:f>Sheet1!$F$2:$F$9</c:f>
              <c:numCache>
                <c:formatCode>General</c:formatCode>
                <c:ptCount val="8"/>
                <c:pt idx="6">
                  <c:v>0</c:v>
                </c:pt>
                <c:pt idx="7">
                  <c:v>0</c:v>
                </c:pt>
              </c:numCache>
            </c:numRef>
          </c:val>
          <c:extLst>
            <c:ext xmlns:c16="http://schemas.microsoft.com/office/drawing/2014/chart" uri="{C3380CC4-5D6E-409C-BE32-E72D297353CC}">
              <c16:uniqueId val="{00000000-A800-49F2-AE38-CADEF5298DE1}"/>
            </c:ext>
          </c:extLst>
        </c:ser>
        <c:ser>
          <c:idx val="5"/>
          <c:order val="5"/>
          <c:tx>
            <c:strRef>
              <c:f>Sheet1!$G$1</c:f>
              <c:strCache>
                <c:ptCount val="1"/>
              </c:strCache>
            </c:strRef>
          </c:tx>
          <c:spPr>
            <a:solidFill>
              <a:schemeClr val="tx2">
                <a:lumMod val="20000"/>
                <a:lumOff val="80000"/>
                <a:alpha val="50000"/>
              </a:schemeClr>
            </a:solidFill>
            <a:ln>
              <a:noFill/>
            </a:ln>
            <a:effectLst/>
          </c:spPr>
          <c:cat>
            <c:strRef>
              <c:f>Sheet1!$A$2:$A$9</c:f>
              <c:strCache>
                <c:ptCount val="8"/>
                <c:pt idx="0">
                  <c:v>2018</c:v>
                </c:pt>
                <c:pt idx="1">
                  <c:v>2019</c:v>
                </c:pt>
                <c:pt idx="2">
                  <c:v>2020</c:v>
                </c:pt>
                <c:pt idx="3">
                  <c:v>2021</c:v>
                </c:pt>
                <c:pt idx="4">
                  <c:v>2022</c:v>
                </c:pt>
                <c:pt idx="6">
                  <c:v>2022 I եռ․</c:v>
                </c:pt>
                <c:pt idx="7">
                  <c:v>2023 I եռ․</c:v>
                </c:pt>
              </c:strCache>
            </c:strRef>
          </c:cat>
          <c:val>
            <c:numRef>
              <c:f>Sheet1!$G$2:$G$9</c:f>
              <c:numCache>
                <c:formatCode>General</c:formatCode>
                <c:ptCount val="8"/>
                <c:pt idx="6" formatCode="0.0">
                  <c:v>1000</c:v>
                </c:pt>
                <c:pt idx="7" formatCode="0.0">
                  <c:v>1000</c:v>
                </c:pt>
              </c:numCache>
            </c:numRef>
          </c:val>
          <c:extLst>
            <c:ext xmlns:c16="http://schemas.microsoft.com/office/drawing/2014/chart" uri="{C3380CC4-5D6E-409C-BE32-E72D297353CC}">
              <c16:uniqueId val="{00000001-A800-49F2-AE38-CADEF5298DE1}"/>
            </c:ext>
          </c:extLst>
        </c:ser>
        <c:dLbls>
          <c:showLegendKey val="0"/>
          <c:showVal val="0"/>
          <c:showCatName val="0"/>
          <c:showSerName val="0"/>
          <c:showPercent val="0"/>
          <c:showBubbleSize val="0"/>
        </c:dLbls>
        <c:axId val="296070144"/>
        <c:axId val="296215296"/>
      </c:areaChar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Sheet1!$A$2:$A$9</c:f>
              <c:strCache>
                <c:ptCount val="8"/>
                <c:pt idx="0">
                  <c:v>2018</c:v>
                </c:pt>
                <c:pt idx="1">
                  <c:v>2019</c:v>
                </c:pt>
                <c:pt idx="2">
                  <c:v>2020</c:v>
                </c:pt>
                <c:pt idx="3">
                  <c:v>2021</c:v>
                </c:pt>
                <c:pt idx="4">
                  <c:v>2022</c:v>
                </c:pt>
                <c:pt idx="6">
                  <c:v>2022 I եռ․</c:v>
                </c:pt>
                <c:pt idx="7">
                  <c:v>2023 I եռ․</c:v>
                </c:pt>
              </c:strCache>
            </c:strRef>
          </c:cat>
          <c:val>
            <c:numRef>
              <c:f>Sheet1!$B$2:$B$9</c:f>
            </c:numRef>
          </c:val>
          <c:extLst>
            <c:ext xmlns:c16="http://schemas.microsoft.com/office/drawing/2014/chart" uri="{C3380CC4-5D6E-409C-BE32-E72D297353CC}">
              <c16:uniqueId val="{00000002-A800-49F2-AE38-CADEF5298DE1}"/>
            </c:ext>
          </c:extLst>
        </c:ser>
        <c:ser>
          <c:idx val="1"/>
          <c:order val="1"/>
          <c:tx>
            <c:strRef>
              <c:f>Sheet1!$C$1</c:f>
              <c:strCache>
                <c:ptCount val="1"/>
                <c:pt idx="0">
                  <c:v>Տեղաբաշխված ծավալ</c:v>
                </c:pt>
              </c:strCache>
            </c:strRef>
          </c:tx>
          <c:spPr>
            <a:solidFill>
              <a:schemeClr val="accent2"/>
            </a:solidFill>
            <a:ln>
              <a:noFill/>
            </a:ln>
            <a:effectLst/>
          </c:spPr>
          <c:invertIfNegative val="0"/>
          <c:cat>
            <c:strRef>
              <c:f>Sheet1!$A$2:$A$9</c:f>
              <c:strCache>
                <c:ptCount val="8"/>
                <c:pt idx="0">
                  <c:v>2018</c:v>
                </c:pt>
                <c:pt idx="1">
                  <c:v>2019</c:v>
                </c:pt>
                <c:pt idx="2">
                  <c:v>2020</c:v>
                </c:pt>
                <c:pt idx="3">
                  <c:v>2021</c:v>
                </c:pt>
                <c:pt idx="4">
                  <c:v>2022</c:v>
                </c:pt>
                <c:pt idx="6">
                  <c:v>2022 I եռ․</c:v>
                </c:pt>
                <c:pt idx="7">
                  <c:v>2023 I եռ․</c:v>
                </c:pt>
              </c:strCache>
            </c:strRef>
          </c:cat>
          <c:val>
            <c:numRef>
              <c:f>Sheet1!$C$2:$C$9</c:f>
              <c:numCache>
                <c:formatCode>0.0</c:formatCode>
                <c:ptCount val="8"/>
                <c:pt idx="0">
                  <c:v>153.97480999999999</c:v>
                </c:pt>
                <c:pt idx="1">
                  <c:v>206.54629800000001</c:v>
                </c:pt>
                <c:pt idx="2">
                  <c:v>388.28811999999999</c:v>
                </c:pt>
                <c:pt idx="3">
                  <c:v>394.31375400000002</c:v>
                </c:pt>
                <c:pt idx="4">
                  <c:v>435.92769399999997</c:v>
                </c:pt>
                <c:pt idx="6">
                  <c:v>109.141015</c:v>
                </c:pt>
                <c:pt idx="7">
                  <c:v>113.671091</c:v>
                </c:pt>
              </c:numCache>
            </c:numRef>
          </c:val>
          <c:extLst>
            <c:ext xmlns:c16="http://schemas.microsoft.com/office/drawing/2014/chart" uri="{C3380CC4-5D6E-409C-BE32-E72D297353CC}">
              <c16:uniqueId val="{00000003-A800-49F2-AE38-CADEF5298DE1}"/>
            </c:ext>
          </c:extLst>
        </c:ser>
        <c:ser>
          <c:idx val="2"/>
          <c:order val="2"/>
          <c:tx>
            <c:strRef>
              <c:f>Sheet1!$D$1</c:f>
              <c:strCache>
                <c:ptCount val="1"/>
                <c:pt idx="0">
                  <c:v>Պահանջարկ</c:v>
                </c:pt>
              </c:strCache>
            </c:strRef>
          </c:tx>
          <c:spPr>
            <a:solidFill>
              <a:schemeClr val="accent3"/>
            </a:solidFill>
            <a:ln>
              <a:noFill/>
            </a:ln>
            <a:effectLst/>
          </c:spPr>
          <c:invertIfNegative val="0"/>
          <c:cat>
            <c:strRef>
              <c:f>Sheet1!$A$2:$A$9</c:f>
              <c:strCache>
                <c:ptCount val="8"/>
                <c:pt idx="0">
                  <c:v>2018</c:v>
                </c:pt>
                <c:pt idx="1">
                  <c:v>2019</c:v>
                </c:pt>
                <c:pt idx="2">
                  <c:v>2020</c:v>
                </c:pt>
                <c:pt idx="3">
                  <c:v>2021</c:v>
                </c:pt>
                <c:pt idx="4">
                  <c:v>2022</c:v>
                </c:pt>
                <c:pt idx="6">
                  <c:v>2022 I եռ․</c:v>
                </c:pt>
                <c:pt idx="7">
                  <c:v>2023 I եռ․</c:v>
                </c:pt>
              </c:strCache>
            </c:strRef>
          </c:cat>
          <c:val>
            <c:numRef>
              <c:f>Sheet1!$D$2:$D$9</c:f>
              <c:numCache>
                <c:formatCode>0.0</c:formatCode>
                <c:ptCount val="8"/>
                <c:pt idx="0">
                  <c:v>288.98665999999997</c:v>
                </c:pt>
                <c:pt idx="1">
                  <c:v>430.330288</c:v>
                </c:pt>
                <c:pt idx="2">
                  <c:v>781.72255000000007</c:v>
                </c:pt>
                <c:pt idx="3">
                  <c:v>751.11215400000003</c:v>
                </c:pt>
                <c:pt idx="4">
                  <c:v>882.73538799999994</c:v>
                </c:pt>
                <c:pt idx="6">
                  <c:v>195.440315</c:v>
                </c:pt>
                <c:pt idx="7">
                  <c:v>264.65658400000001</c:v>
                </c:pt>
              </c:numCache>
            </c:numRef>
          </c:val>
          <c:extLst>
            <c:ext xmlns:c16="http://schemas.microsoft.com/office/drawing/2014/chart" uri="{C3380CC4-5D6E-409C-BE32-E72D297353CC}">
              <c16:uniqueId val="{00000004-A800-49F2-AE38-CADEF5298DE1}"/>
            </c:ext>
          </c:extLst>
        </c:ser>
        <c:dLbls>
          <c:showLegendKey val="0"/>
          <c:showVal val="0"/>
          <c:showCatName val="0"/>
          <c:showSerName val="0"/>
          <c:showPercent val="0"/>
          <c:showBubbleSize val="0"/>
        </c:dLbls>
        <c:gapWidth val="219"/>
        <c:overlap val="-27"/>
        <c:axId val="296070144"/>
        <c:axId val="296215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Sheet1!$A$2:$A$9</c:f>
              <c:strCache>
                <c:ptCount val="8"/>
                <c:pt idx="0">
                  <c:v>2018</c:v>
                </c:pt>
                <c:pt idx="1">
                  <c:v>2019</c:v>
                </c:pt>
                <c:pt idx="2">
                  <c:v>2020</c:v>
                </c:pt>
                <c:pt idx="3">
                  <c:v>2021</c:v>
                </c:pt>
                <c:pt idx="4">
                  <c:v>2022</c:v>
                </c:pt>
                <c:pt idx="6">
                  <c:v>2022 I եռ․</c:v>
                </c:pt>
                <c:pt idx="7">
                  <c:v>2023 I եռ․</c:v>
                </c:pt>
              </c:strCache>
            </c:strRef>
          </c:cat>
          <c:val>
            <c:numRef>
              <c:f>Sheet1!$E$2:$E$9</c:f>
              <c:numCache>
                <c:formatCode>0.0</c:formatCode>
                <c:ptCount val="8"/>
                <c:pt idx="0">
                  <c:v>1.8768437512603522</c:v>
                </c:pt>
                <c:pt idx="1">
                  <c:v>2.0834567947569798</c:v>
                </c:pt>
                <c:pt idx="2">
                  <c:v>2.0132538435633829</c:v>
                </c:pt>
                <c:pt idx="3">
                  <c:v>1.9048591290072017</c:v>
                </c:pt>
                <c:pt idx="4">
                  <c:v>2.0249582675057116</c:v>
                </c:pt>
                <c:pt idx="6">
                  <c:v>1.7907137385519092</c:v>
                </c:pt>
                <c:pt idx="7">
                  <c:v>2.328266419119704</c:v>
                </c:pt>
              </c:numCache>
            </c:numRef>
          </c:val>
          <c:smooth val="0"/>
          <c:extLst>
            <c:ext xmlns:c16="http://schemas.microsoft.com/office/drawing/2014/chart" uri="{C3380CC4-5D6E-409C-BE32-E72D297353CC}">
              <c16:uniqueId val="{00000005-A800-49F2-AE38-CADEF5298DE1}"/>
            </c:ext>
          </c:extLst>
        </c:ser>
        <c:dLbls>
          <c:showLegendKey val="0"/>
          <c:showVal val="0"/>
          <c:showCatName val="0"/>
          <c:showSerName val="0"/>
          <c:showPercent val="0"/>
          <c:showBubbleSize val="0"/>
        </c:dLbls>
        <c:marker val="1"/>
        <c:smooth val="0"/>
        <c:axId val="295960576"/>
        <c:axId val="296216832"/>
      </c:lineChart>
      <c:catAx>
        <c:axId val="29607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215296"/>
        <c:crosses val="autoZero"/>
        <c:auto val="1"/>
        <c:lblAlgn val="ctr"/>
        <c:lblOffset val="100"/>
        <c:noMultiLvlLbl val="0"/>
      </c:catAx>
      <c:valAx>
        <c:axId val="296215296"/>
        <c:scaling>
          <c:orientation val="minMax"/>
          <c:max val="1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070144"/>
        <c:crosses val="autoZero"/>
        <c:crossBetween val="between"/>
      </c:valAx>
      <c:valAx>
        <c:axId val="296216832"/>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5960576"/>
        <c:crosses val="max"/>
        <c:crossBetween val="between"/>
      </c:valAx>
      <c:catAx>
        <c:axId val="295960576"/>
        <c:scaling>
          <c:orientation val="minMax"/>
        </c:scaling>
        <c:delete val="1"/>
        <c:axPos val="b"/>
        <c:numFmt formatCode="General" sourceLinked="1"/>
        <c:majorTickMark val="out"/>
        <c:minorTickMark val="none"/>
        <c:tickLblPos val="nextTo"/>
        <c:crossAx val="296216832"/>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0"/>
          <c:y val="0.79811273590801168"/>
          <c:w val="0.89307478356250247"/>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layout/>
      <c:overlay val="0"/>
      <c:spPr>
        <a:noFill/>
        <a:ln>
          <a:noFill/>
        </a:ln>
        <a:effectLst/>
      </c:spPr>
    </c:title>
    <c:autoTitleDeleted val="0"/>
    <c:plotArea>
      <c:layout/>
      <c:areaChart>
        <c:grouping val="standard"/>
        <c:varyColors val="0"/>
        <c:ser>
          <c:idx val="3"/>
          <c:order val="3"/>
          <c:tx>
            <c:strRef>
              <c:f>Sheet1!$E$1</c:f>
              <c:strCache>
                <c:ptCount val="1"/>
                <c:pt idx="0">
                  <c:v>Column1</c:v>
                </c:pt>
              </c:strCache>
            </c:strRef>
          </c:tx>
          <c:spPr>
            <a:solidFill>
              <a:schemeClr val="accent4"/>
            </a:solidFill>
            <a:ln w="25400">
              <a:noFill/>
            </a:ln>
            <a:effectLst/>
          </c:spPr>
          <c:cat>
            <c:strRef>
              <c:f>Sheet1!$A$2:$A$33</c:f>
              <c:strCache>
                <c:ptCount val="20"/>
                <c:pt idx="3">
                  <c:v>2019</c:v>
                </c:pt>
                <c:pt idx="7">
                  <c:v>2020</c:v>
                </c:pt>
                <c:pt idx="11">
                  <c:v>2021</c:v>
                </c:pt>
                <c:pt idx="15">
                  <c:v>2022</c:v>
                </c:pt>
                <c:pt idx="17">
                  <c:v>2023 - 1</c:v>
                </c:pt>
                <c:pt idx="18">
                  <c:v>2023 - 2</c:v>
                </c:pt>
                <c:pt idx="19">
                  <c:v>2023 - 3</c:v>
                </c:pt>
              </c:strCache>
            </c:strRef>
          </c:cat>
          <c:val>
            <c:numRef>
              <c:f>Sheet1!$E$2:$E$33</c:f>
              <c:numCache>
                <c:formatCode>General</c:formatCode>
                <c:ptCount val="20"/>
                <c:pt idx="17">
                  <c:v>0</c:v>
                </c:pt>
                <c:pt idx="18">
                  <c:v>0</c:v>
                </c:pt>
                <c:pt idx="19">
                  <c:v>0</c:v>
                </c:pt>
              </c:numCache>
            </c:numRef>
          </c:val>
          <c:extLst>
            <c:ext xmlns:c16="http://schemas.microsoft.com/office/drawing/2014/chart" uri="{C3380CC4-5D6E-409C-BE32-E72D297353CC}">
              <c16:uniqueId val="{00000000-F7C7-4ECC-B906-94285930ADF2}"/>
            </c:ext>
          </c:extLst>
        </c:ser>
        <c:ser>
          <c:idx val="4"/>
          <c:order val="4"/>
          <c:tx>
            <c:strRef>
              <c:f>Sheet1!$F$1</c:f>
              <c:strCache>
                <c:ptCount val="1"/>
                <c:pt idx="0">
                  <c:v>Column2</c:v>
                </c:pt>
              </c:strCache>
            </c:strRef>
          </c:tx>
          <c:spPr>
            <a:solidFill>
              <a:schemeClr val="tx2">
                <a:lumMod val="20000"/>
                <a:lumOff val="80000"/>
                <a:alpha val="50000"/>
              </a:schemeClr>
            </a:solidFill>
            <a:ln w="25400">
              <a:noFill/>
            </a:ln>
            <a:effectLst/>
          </c:spPr>
          <c:cat>
            <c:strRef>
              <c:f>Sheet1!$A$2:$A$33</c:f>
              <c:strCache>
                <c:ptCount val="20"/>
                <c:pt idx="3">
                  <c:v>2019</c:v>
                </c:pt>
                <c:pt idx="7">
                  <c:v>2020</c:v>
                </c:pt>
                <c:pt idx="11">
                  <c:v>2021</c:v>
                </c:pt>
                <c:pt idx="15">
                  <c:v>2022</c:v>
                </c:pt>
                <c:pt idx="17">
                  <c:v>2023 - 1</c:v>
                </c:pt>
                <c:pt idx="18">
                  <c:v>2023 - 2</c:v>
                </c:pt>
                <c:pt idx="19">
                  <c:v>2023 - 3</c:v>
                </c:pt>
              </c:strCache>
            </c:strRef>
          </c:cat>
          <c:val>
            <c:numRef>
              <c:f>Sheet1!$F$2:$F$33</c:f>
              <c:numCache>
                <c:formatCode>General</c:formatCode>
                <c:ptCount val="20"/>
                <c:pt idx="17">
                  <c:v>14</c:v>
                </c:pt>
                <c:pt idx="18">
                  <c:v>14</c:v>
                </c:pt>
                <c:pt idx="19">
                  <c:v>14</c:v>
                </c:pt>
              </c:numCache>
            </c:numRef>
          </c:val>
          <c:extLst>
            <c:ext xmlns:c16="http://schemas.microsoft.com/office/drawing/2014/chart" uri="{C3380CC4-5D6E-409C-BE32-E72D297353CC}">
              <c16:uniqueId val="{00000001-F7C7-4ECC-B906-94285930ADF2}"/>
            </c:ext>
          </c:extLst>
        </c:ser>
        <c:dLbls>
          <c:showLegendKey val="0"/>
          <c:showVal val="0"/>
          <c:showCatName val="0"/>
          <c:showSerName val="0"/>
          <c:showPercent val="0"/>
          <c:showBubbleSize val="0"/>
        </c:dLbls>
        <c:axId val="296048512"/>
        <c:axId val="292880384"/>
      </c:areaChart>
      <c:lineChart>
        <c:grouping val="standard"/>
        <c:varyColors val="0"/>
        <c:ser>
          <c:idx val="0"/>
          <c:order val="0"/>
          <c:tx>
            <c:strRef>
              <c:f>Sheet1!$B$1</c:f>
              <c:strCache>
                <c:ptCount val="1"/>
                <c:pt idx="0">
                  <c:v>Կարճաժամկետ ՊՊ</c:v>
                </c:pt>
              </c:strCache>
            </c:strRef>
          </c:tx>
          <c:spPr>
            <a:ln w="28575" cap="rnd">
              <a:noFill/>
              <a:round/>
            </a:ln>
            <a:effectLst/>
          </c:spPr>
          <c:marker>
            <c:symbol val="circle"/>
            <c:size val="5"/>
            <c:spPr>
              <a:solidFill>
                <a:schemeClr val="accent1"/>
              </a:solidFill>
              <a:ln w="9525">
                <a:noFill/>
              </a:ln>
              <a:effectLst/>
            </c:spPr>
          </c:marker>
          <c:cat>
            <c:strRef>
              <c:f>Sheet1!$A$2:$A$33</c:f>
              <c:strCache>
                <c:ptCount val="20"/>
                <c:pt idx="3">
                  <c:v>2019</c:v>
                </c:pt>
                <c:pt idx="7">
                  <c:v>2020</c:v>
                </c:pt>
                <c:pt idx="11">
                  <c:v>2021</c:v>
                </c:pt>
                <c:pt idx="15">
                  <c:v>2022</c:v>
                </c:pt>
                <c:pt idx="17">
                  <c:v>2023 - 1</c:v>
                </c:pt>
                <c:pt idx="18">
                  <c:v>2023 - 2</c:v>
                </c:pt>
                <c:pt idx="19">
                  <c:v>2023 - 3</c:v>
                </c:pt>
              </c:strCache>
            </c:strRef>
          </c:cat>
          <c:val>
            <c:numRef>
              <c:f>Sheet1!$B$2:$B$33</c:f>
              <c:numCache>
                <c:formatCode>0.0</c:formatCode>
                <c:ptCount val="20"/>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9.3972511904761902</c:v>
                </c:pt>
                <c:pt idx="13">
                  <c:v>10.474917879845876</c:v>
                </c:pt>
                <c:pt idx="14">
                  <c:v>10.657290740443548</c:v>
                </c:pt>
                <c:pt idx="15">
                  <c:v>11.539109900453338</c:v>
                </c:pt>
                <c:pt idx="17">
                  <c:v>11.534054794520548</c:v>
                </c:pt>
                <c:pt idx="18">
                  <c:v>11.517702373561228</c:v>
                </c:pt>
                <c:pt idx="19">
                  <c:v>11.59212</c:v>
                </c:pt>
              </c:numCache>
            </c:numRef>
          </c:val>
          <c:smooth val="0"/>
          <c:extLst>
            <c:ext xmlns:c16="http://schemas.microsoft.com/office/drawing/2014/chart" uri="{C3380CC4-5D6E-409C-BE32-E72D297353CC}">
              <c16:uniqueId val="{00000002-F7C7-4ECC-B906-94285930ADF2}"/>
            </c:ext>
          </c:extLst>
        </c:ser>
        <c:ser>
          <c:idx val="1"/>
          <c:order val="1"/>
          <c:tx>
            <c:strRef>
              <c:f>Sheet1!$C$1</c:f>
              <c:strCache>
                <c:ptCount val="1"/>
                <c:pt idx="0">
                  <c:v>Միջնաժամկետ ՊՊ</c:v>
                </c:pt>
              </c:strCache>
            </c:strRef>
          </c:tx>
          <c:spPr>
            <a:ln w="28575" cap="rnd">
              <a:noFill/>
              <a:round/>
            </a:ln>
            <a:effectLst/>
          </c:spPr>
          <c:marker>
            <c:symbol val="circle"/>
            <c:size val="5"/>
            <c:spPr>
              <a:solidFill>
                <a:schemeClr val="accent2"/>
              </a:solidFill>
              <a:ln w="9525">
                <a:solidFill>
                  <a:schemeClr val="accent2"/>
                </a:solidFill>
              </a:ln>
              <a:effectLst/>
            </c:spPr>
          </c:marker>
          <c:cat>
            <c:strRef>
              <c:f>Sheet1!$A$2:$A$33</c:f>
              <c:strCache>
                <c:ptCount val="20"/>
                <c:pt idx="3">
                  <c:v>2019</c:v>
                </c:pt>
                <c:pt idx="7">
                  <c:v>2020</c:v>
                </c:pt>
                <c:pt idx="11">
                  <c:v>2021</c:v>
                </c:pt>
                <c:pt idx="15">
                  <c:v>2022</c:v>
                </c:pt>
                <c:pt idx="17">
                  <c:v>2023 - 1</c:v>
                </c:pt>
                <c:pt idx="18">
                  <c:v>2023 - 2</c:v>
                </c:pt>
                <c:pt idx="19">
                  <c:v>2023 - 3</c:v>
                </c:pt>
              </c:strCache>
            </c:strRef>
          </c:cat>
          <c:val>
            <c:numRef>
              <c:f>Sheet1!$C$2:$C$33</c:f>
              <c:numCache>
                <c:formatCode>0.0</c:formatCode>
                <c:ptCount val="20"/>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11.088650000000001</c:v>
                </c:pt>
                <c:pt idx="14">
                  <c:v>11.286049999999999</c:v>
                </c:pt>
                <c:pt idx="15">
                  <c:v>11.762</c:v>
                </c:pt>
                <c:pt idx="18">
                  <c:v>11.955500000000001</c:v>
                </c:pt>
                <c:pt idx="19">
                  <c:v>11.904400000000001</c:v>
                </c:pt>
              </c:numCache>
            </c:numRef>
          </c:val>
          <c:smooth val="0"/>
          <c:extLst>
            <c:ext xmlns:c16="http://schemas.microsoft.com/office/drawing/2014/chart" uri="{C3380CC4-5D6E-409C-BE32-E72D297353CC}">
              <c16:uniqueId val="{00000003-F7C7-4ECC-B906-94285930ADF2}"/>
            </c:ext>
          </c:extLst>
        </c:ser>
        <c:ser>
          <c:idx val="2"/>
          <c:order val="2"/>
          <c:tx>
            <c:strRef>
              <c:f>Sheet1!$D$1</c:f>
              <c:strCache>
                <c:ptCount val="1"/>
                <c:pt idx="0">
                  <c:v>Երկարաժամկետ ՊՊ</c:v>
                </c:pt>
              </c:strCache>
            </c:strRef>
          </c:tx>
          <c:spPr>
            <a:ln w="28575" cap="rnd">
              <a:noFill/>
              <a:round/>
            </a:ln>
            <a:effectLst/>
          </c:spPr>
          <c:marker>
            <c:symbol val="circle"/>
            <c:size val="5"/>
            <c:spPr>
              <a:solidFill>
                <a:schemeClr val="accent3"/>
              </a:solidFill>
              <a:ln w="9525">
                <a:solidFill>
                  <a:schemeClr val="accent3"/>
                </a:solidFill>
              </a:ln>
              <a:effectLst/>
            </c:spPr>
          </c:marker>
          <c:cat>
            <c:strRef>
              <c:f>Sheet1!$A$2:$A$33</c:f>
              <c:strCache>
                <c:ptCount val="20"/>
                <c:pt idx="3">
                  <c:v>2019</c:v>
                </c:pt>
                <c:pt idx="7">
                  <c:v>2020</c:v>
                </c:pt>
                <c:pt idx="11">
                  <c:v>2021</c:v>
                </c:pt>
                <c:pt idx="15">
                  <c:v>2022</c:v>
                </c:pt>
                <c:pt idx="17">
                  <c:v>2023 - 1</c:v>
                </c:pt>
                <c:pt idx="18">
                  <c:v>2023 - 2</c:v>
                </c:pt>
                <c:pt idx="19">
                  <c:v>2023 - 3</c:v>
                </c:pt>
              </c:strCache>
            </c:strRef>
          </c:cat>
          <c:val>
            <c:numRef>
              <c:f>Sheet1!$D$2:$D$33</c:f>
              <c:numCache>
                <c:formatCode>0.0</c:formatCode>
                <c:ptCount val="20"/>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11.692732145649503</c:v>
                </c:pt>
                <c:pt idx="14">
                  <c:v>11.8903</c:v>
                </c:pt>
                <c:pt idx="17">
                  <c:v>11.9801</c:v>
                </c:pt>
              </c:numCache>
            </c:numRef>
          </c:val>
          <c:smooth val="0"/>
          <c:extLst>
            <c:ext xmlns:c16="http://schemas.microsoft.com/office/drawing/2014/chart" uri="{C3380CC4-5D6E-409C-BE32-E72D297353CC}">
              <c16:uniqueId val="{00000004-F7C7-4ECC-B906-94285930ADF2}"/>
            </c:ext>
          </c:extLst>
        </c:ser>
        <c:dLbls>
          <c:showLegendKey val="0"/>
          <c:showVal val="0"/>
          <c:showCatName val="0"/>
          <c:showSerName val="0"/>
          <c:showPercent val="0"/>
          <c:showBubbleSize val="0"/>
        </c:dLbls>
        <c:marker val="1"/>
        <c:smooth val="0"/>
        <c:axId val="296048512"/>
        <c:axId val="292880384"/>
      </c:lineChart>
      <c:catAx>
        <c:axId val="2960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2880384"/>
        <c:crosses val="autoZero"/>
        <c:auto val="1"/>
        <c:lblAlgn val="ctr"/>
        <c:lblOffset val="100"/>
        <c:noMultiLvlLbl val="0"/>
      </c:catAx>
      <c:valAx>
        <c:axId val="292880384"/>
        <c:scaling>
          <c:orientation val="minMax"/>
          <c:max val="1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048512"/>
        <c:crosses val="autoZero"/>
        <c:crossBetween val="between"/>
      </c:valAx>
      <c:spPr>
        <a:noFill/>
        <a:ln>
          <a:noFill/>
        </a:ln>
        <a:effectLst/>
      </c:spPr>
    </c:plotArea>
    <c:legend>
      <c:legendPos val="b"/>
      <c:legendEntry>
        <c:idx val="0"/>
        <c:delete val="1"/>
      </c:legendEntry>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layout/>
      <c:overlay val="0"/>
      <c:spPr>
        <a:noFill/>
        <a:ln>
          <a:noFill/>
        </a:ln>
        <a:effectLst/>
      </c:spPr>
    </c:title>
    <c:autoTitleDeleted val="0"/>
    <c:plotArea>
      <c:layout>
        <c:manualLayout>
          <c:layoutTarget val="inner"/>
          <c:xMode val="edge"/>
          <c:yMode val="edge"/>
          <c:x val="0.14365442955994137"/>
          <c:y val="0.15405761779777527"/>
          <c:w val="0.78805160718546541"/>
          <c:h val="0.47725147366502008"/>
        </c:manualLayout>
      </c:layout>
      <c:areaChart>
        <c:grouping val="standard"/>
        <c:varyColors val="0"/>
        <c:ser>
          <c:idx val="4"/>
          <c:order val="4"/>
          <c:tx>
            <c:strRef>
              <c:f>Sheet1!$F$1</c:f>
              <c:strCache>
                <c:ptCount val="1"/>
                <c:pt idx="0">
                  <c:v>Column2</c:v>
                </c:pt>
              </c:strCache>
            </c:strRef>
          </c:tx>
          <c:spPr>
            <a:solidFill>
              <a:schemeClr val="accent5"/>
            </a:solidFill>
            <a:ln>
              <a:noFill/>
            </a:ln>
            <a:effectLst/>
          </c:spPr>
          <c:cat>
            <c:strRef>
              <c:f>Sheet1!$A$2:$A$65</c:f>
              <c:strCache>
                <c:ptCount val="22"/>
                <c:pt idx="3">
                  <c:v>2019</c:v>
                </c:pt>
                <c:pt idx="7">
                  <c:v>2020</c:v>
                </c:pt>
                <c:pt idx="11">
                  <c:v>2021</c:v>
                </c:pt>
                <c:pt idx="17">
                  <c:v>2022</c:v>
                </c:pt>
                <c:pt idx="19">
                  <c:v>2023 - 1</c:v>
                </c:pt>
                <c:pt idx="20">
                  <c:v>2023 - 2</c:v>
                </c:pt>
                <c:pt idx="21">
                  <c:v>2023 - 3</c:v>
                </c:pt>
              </c:strCache>
            </c:strRef>
          </c:cat>
          <c:val>
            <c:numRef>
              <c:f>Sheet1!$F$2:$F$65</c:f>
              <c:numCache>
                <c:formatCode>General</c:formatCode>
                <c:ptCount val="22"/>
                <c:pt idx="19" formatCode="0.0">
                  <c:v>0</c:v>
                </c:pt>
                <c:pt idx="20" formatCode="0.0">
                  <c:v>0</c:v>
                </c:pt>
                <c:pt idx="21" formatCode="0.0">
                  <c:v>0</c:v>
                </c:pt>
              </c:numCache>
            </c:numRef>
          </c:val>
          <c:extLst>
            <c:ext xmlns:c16="http://schemas.microsoft.com/office/drawing/2014/chart" uri="{C3380CC4-5D6E-409C-BE32-E72D297353CC}">
              <c16:uniqueId val="{00000000-C147-4F78-996E-7A9406FEB77B}"/>
            </c:ext>
          </c:extLst>
        </c:ser>
        <c:ser>
          <c:idx val="5"/>
          <c:order val="5"/>
          <c:tx>
            <c:strRef>
              <c:f>Sheet1!$G$1</c:f>
              <c:strCache>
                <c:ptCount val="1"/>
                <c:pt idx="0">
                  <c:v>Column3</c:v>
                </c:pt>
              </c:strCache>
            </c:strRef>
          </c:tx>
          <c:spPr>
            <a:solidFill>
              <a:schemeClr val="tx2">
                <a:lumMod val="20000"/>
                <a:lumOff val="80000"/>
                <a:alpha val="50000"/>
              </a:schemeClr>
            </a:solidFill>
            <a:ln>
              <a:noFill/>
            </a:ln>
            <a:effectLst/>
          </c:spPr>
          <c:cat>
            <c:strRef>
              <c:f>Sheet1!$A$2:$A$65</c:f>
              <c:strCache>
                <c:ptCount val="22"/>
                <c:pt idx="3">
                  <c:v>2019</c:v>
                </c:pt>
                <c:pt idx="7">
                  <c:v>2020</c:v>
                </c:pt>
                <c:pt idx="11">
                  <c:v>2021</c:v>
                </c:pt>
                <c:pt idx="17">
                  <c:v>2022</c:v>
                </c:pt>
                <c:pt idx="19">
                  <c:v>2023 - 1</c:v>
                </c:pt>
                <c:pt idx="20">
                  <c:v>2023 - 2</c:v>
                </c:pt>
                <c:pt idx="21">
                  <c:v>2023 - 3</c:v>
                </c:pt>
              </c:strCache>
            </c:strRef>
          </c:cat>
          <c:val>
            <c:numRef>
              <c:f>Sheet1!$G$2:$G$65</c:f>
              <c:numCache>
                <c:formatCode>General</c:formatCode>
                <c:ptCount val="22"/>
                <c:pt idx="19" formatCode="0.0">
                  <c:v>10</c:v>
                </c:pt>
                <c:pt idx="20" formatCode="0.0">
                  <c:v>10</c:v>
                </c:pt>
                <c:pt idx="21" formatCode="0.0">
                  <c:v>10</c:v>
                </c:pt>
              </c:numCache>
            </c:numRef>
          </c:val>
          <c:extLst>
            <c:ext xmlns:c16="http://schemas.microsoft.com/office/drawing/2014/chart" uri="{C3380CC4-5D6E-409C-BE32-E72D297353CC}">
              <c16:uniqueId val="{00000001-C147-4F78-996E-7A9406FEB77B}"/>
            </c:ext>
          </c:extLst>
        </c:ser>
        <c:dLbls>
          <c:showLegendKey val="0"/>
          <c:showVal val="0"/>
          <c:showCatName val="0"/>
          <c:showSerName val="0"/>
          <c:showPercent val="0"/>
          <c:showBubbleSize val="0"/>
        </c:dLbls>
        <c:axId val="296109952"/>
        <c:axId val="296111488"/>
      </c:areaChart>
      <c:lineChart>
        <c:grouping val="standard"/>
        <c:varyColors val="0"/>
        <c:ser>
          <c:idx val="0"/>
          <c:order val="0"/>
          <c:tx>
            <c:strRef>
              <c:f>Sheet1!$B$1</c:f>
              <c:strCache>
                <c:ptCount val="1"/>
                <c:pt idx="0">
                  <c:v>2020թ. մարվող պարտատոմսեր</c:v>
                </c:pt>
              </c:strCache>
            </c:strRef>
          </c:tx>
          <c:spPr>
            <a:ln w="28575" cap="rnd">
              <a:solidFill>
                <a:schemeClr val="accent1"/>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Sheet1!$B$2:$B$65</c:f>
              <c:numCache>
                <c:formatCode>0.0</c:formatCode>
                <c:ptCount val="22"/>
                <c:pt idx="0">
                  <c:v>4.3089523809523813</c:v>
                </c:pt>
                <c:pt idx="1">
                  <c:v>3.6811999999999996</c:v>
                </c:pt>
                <c:pt idx="2">
                  <c:v>3.0475714285714282</c:v>
                </c:pt>
                <c:pt idx="3">
                  <c:v>2.9187000000000003</c:v>
                </c:pt>
                <c:pt idx="4">
                  <c:v>5.6015454545454544</c:v>
                </c:pt>
                <c:pt idx="5">
                  <c:v>6.0626818181818178</c:v>
                </c:pt>
                <c:pt idx="6">
                  <c:v>8.1625000000000014</c:v>
                </c:pt>
              </c:numCache>
            </c:numRef>
          </c:val>
          <c:smooth val="0"/>
          <c:extLst>
            <c:ext xmlns:c16="http://schemas.microsoft.com/office/drawing/2014/chart" uri="{C3380CC4-5D6E-409C-BE32-E72D297353CC}">
              <c16:uniqueId val="{00000002-C147-4F78-996E-7A9406FEB77B}"/>
            </c:ext>
          </c:extLst>
        </c:ser>
        <c:ser>
          <c:idx val="1"/>
          <c:order val="1"/>
          <c:tx>
            <c:strRef>
              <c:f>Sheet1!$C$1</c:f>
              <c:strCache>
                <c:ptCount val="1"/>
                <c:pt idx="0">
                  <c:v>2025թ. մարվող պարտատոմսեր</c:v>
                </c:pt>
              </c:strCache>
            </c:strRef>
          </c:tx>
          <c:spPr>
            <a:ln w="28575" cap="rnd">
              <a:solidFill>
                <a:schemeClr val="accent2"/>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Sheet1!$C$2:$C$65</c:f>
              <c:numCache>
                <c:formatCode>0.0</c:formatCode>
                <c:ptCount val="22"/>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3.5819499999999991</c:v>
                </c:pt>
                <c:pt idx="13">
                  <c:v>4.2422000000000004</c:v>
                </c:pt>
                <c:pt idx="14">
                  <c:v>7.4899130434782624</c:v>
                </c:pt>
                <c:pt idx="15">
                  <c:v>7.4219500000000007</c:v>
                </c:pt>
                <c:pt idx="16">
                  <c:v>7.4047000000000001</c:v>
                </c:pt>
                <c:pt idx="17">
                  <c:v>6.4584761904761896</c:v>
                </c:pt>
                <c:pt idx="19">
                  <c:v>6.3859090909090916</c:v>
                </c:pt>
                <c:pt idx="20">
                  <c:v>6.3874999999999993</c:v>
                </c:pt>
                <c:pt idx="21">
                  <c:v>6.3918695652173918</c:v>
                </c:pt>
              </c:numCache>
            </c:numRef>
          </c:val>
          <c:smooth val="0"/>
          <c:extLst>
            <c:ext xmlns:c16="http://schemas.microsoft.com/office/drawing/2014/chart" uri="{C3380CC4-5D6E-409C-BE32-E72D297353CC}">
              <c16:uniqueId val="{00000003-C147-4F78-996E-7A9406FEB77B}"/>
            </c:ext>
          </c:extLst>
        </c:ser>
        <c:ser>
          <c:idx val="2"/>
          <c:order val="2"/>
          <c:tx>
            <c:strRef>
              <c:f>Sheet1!$D$1</c:f>
              <c:strCache>
                <c:ptCount val="1"/>
                <c:pt idx="0">
                  <c:v>2029թ. մարվող պարտատոմսեր</c:v>
                </c:pt>
              </c:strCache>
            </c:strRef>
          </c:tx>
          <c:spPr>
            <a:ln w="28575" cap="rnd">
              <a:solidFill>
                <a:schemeClr val="accent3"/>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Sheet1!$D$2:$D$65</c:f>
              <c:numCache>
                <c:formatCode>General</c:formatCode>
                <c:ptCount val="22"/>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4.5868000000000011</c:v>
                </c:pt>
                <c:pt idx="13" formatCode="0.0">
                  <c:v>5.0386000000000006</c:v>
                </c:pt>
                <c:pt idx="14" formatCode="0.0">
                  <c:v>6.8682173913043476</c:v>
                </c:pt>
                <c:pt idx="15" formatCode="0.0">
                  <c:v>8.2034500000000001</c:v>
                </c:pt>
                <c:pt idx="16" formatCode="0.0">
                  <c:v>8.7533500000000011</c:v>
                </c:pt>
                <c:pt idx="17" formatCode="0.0">
                  <c:v>7.0670952380952361</c:v>
                </c:pt>
                <c:pt idx="19" formatCode="0.0">
                  <c:v>7.0100000000000007</c:v>
                </c:pt>
                <c:pt idx="20" formatCode="0.0">
                  <c:v>7.1819999999999995</c:v>
                </c:pt>
                <c:pt idx="21" formatCode="0.0">
                  <c:v>7.5711739130434781</c:v>
                </c:pt>
              </c:numCache>
            </c:numRef>
          </c:val>
          <c:smooth val="0"/>
          <c:extLst>
            <c:ext xmlns:c16="http://schemas.microsoft.com/office/drawing/2014/chart" uri="{C3380CC4-5D6E-409C-BE32-E72D297353CC}">
              <c16:uniqueId val="{00000004-C147-4F78-996E-7A9406FEB77B}"/>
            </c:ext>
          </c:extLst>
        </c:ser>
        <c:ser>
          <c:idx val="3"/>
          <c:order val="3"/>
          <c:tx>
            <c:strRef>
              <c:f>Sheet1!$E$1</c:f>
              <c:strCache>
                <c:ptCount val="1"/>
                <c:pt idx="0">
                  <c:v>2031թ. մարվող պարտատոմսեր</c:v>
                </c:pt>
              </c:strCache>
            </c:strRef>
          </c:tx>
          <c:spPr>
            <a:ln w="28575" cap="rnd">
              <a:solidFill>
                <a:schemeClr val="accent4"/>
              </a:solidFill>
              <a:round/>
            </a:ln>
            <a:effectLst/>
          </c:spPr>
          <c:marker>
            <c:symbol val="none"/>
          </c:marker>
          <c:cat>
            <c:strRef>
              <c:f>Sheet1!$A$2:$A$65</c:f>
              <c:strCache>
                <c:ptCount val="22"/>
                <c:pt idx="3">
                  <c:v>2019</c:v>
                </c:pt>
                <c:pt idx="7">
                  <c:v>2020</c:v>
                </c:pt>
                <c:pt idx="11">
                  <c:v>2021</c:v>
                </c:pt>
                <c:pt idx="17">
                  <c:v>2022</c:v>
                </c:pt>
                <c:pt idx="19">
                  <c:v>2023 - 1</c:v>
                </c:pt>
                <c:pt idx="20">
                  <c:v>2023 - 2</c:v>
                </c:pt>
                <c:pt idx="21">
                  <c:v>2023 - 3</c:v>
                </c:pt>
              </c:strCache>
            </c:strRef>
          </c:cat>
          <c:val>
            <c:numRef>
              <c:f>Sheet1!$E$2:$E$65</c:f>
              <c:numCache>
                <c:formatCode>General</c:formatCode>
                <c:ptCount val="22"/>
                <c:pt idx="8" formatCode="0.0">
                  <c:v>4.6077826086956497</c:v>
                </c:pt>
                <c:pt idx="9" formatCode="0.0">
                  <c:v>4.4961363636363636</c:v>
                </c:pt>
                <c:pt idx="10" formatCode="0.0">
                  <c:v>4.1649090909090898</c:v>
                </c:pt>
                <c:pt idx="11" formatCode="0.0">
                  <c:v>4.5901428571428564</c:v>
                </c:pt>
                <c:pt idx="12" formatCode="0.0">
                  <c:v>4.7987500000000001</c:v>
                </c:pt>
                <c:pt idx="13" formatCode="0.0">
                  <c:v>5.3735999999999997</c:v>
                </c:pt>
                <c:pt idx="14" formatCode="0.0">
                  <c:v>7.189913043478259</c:v>
                </c:pt>
                <c:pt idx="15" formatCode="0.0">
                  <c:v>8.3145000000000007</c:v>
                </c:pt>
                <c:pt idx="16" formatCode="0.0">
                  <c:v>8.5759000000000007</c:v>
                </c:pt>
                <c:pt idx="17" formatCode="0.0">
                  <c:v>6.8412857142857133</c:v>
                </c:pt>
                <c:pt idx="19" formatCode="0.0">
                  <c:v>6.9507619047619036</c:v>
                </c:pt>
                <c:pt idx="20" formatCode="0.0">
                  <c:v>7.254900000000001</c:v>
                </c:pt>
                <c:pt idx="21" formatCode="0.0">
                  <c:v>7.607956521739129</c:v>
                </c:pt>
              </c:numCache>
            </c:numRef>
          </c:val>
          <c:smooth val="0"/>
          <c:extLst>
            <c:ext xmlns:c16="http://schemas.microsoft.com/office/drawing/2014/chart" uri="{C3380CC4-5D6E-409C-BE32-E72D297353CC}">
              <c16:uniqueId val="{00000005-C147-4F78-996E-7A9406FEB77B}"/>
            </c:ext>
          </c:extLst>
        </c:ser>
        <c:dLbls>
          <c:showLegendKey val="0"/>
          <c:showVal val="0"/>
          <c:showCatName val="0"/>
          <c:showSerName val="0"/>
          <c:showPercent val="0"/>
          <c:showBubbleSize val="0"/>
        </c:dLbls>
        <c:marker val="1"/>
        <c:smooth val="0"/>
        <c:axId val="296109952"/>
        <c:axId val="296111488"/>
      </c:lineChart>
      <c:catAx>
        <c:axId val="2961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111488"/>
        <c:crosses val="autoZero"/>
        <c:auto val="1"/>
        <c:lblAlgn val="ctr"/>
        <c:lblOffset val="100"/>
        <c:noMultiLvlLbl val="0"/>
      </c:catAx>
      <c:valAx>
        <c:axId val="296111488"/>
        <c:scaling>
          <c:orientation val="minMax"/>
          <c:max val="1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109952"/>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layout/>
      <c:overlay val="0"/>
      <c:spPr>
        <a:noFill/>
        <a:ln>
          <a:noFill/>
        </a:ln>
        <a:effectLst/>
      </c:sp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ser>
          <c:idx val="4"/>
          <c:order val="4"/>
          <c:tx>
            <c:strRef>
              <c:f>Sheet1!$F$1</c:f>
              <c:strCache>
                <c:ptCount val="1"/>
                <c:pt idx="0">
                  <c:v>Column2</c:v>
                </c:pt>
              </c:strCache>
            </c:strRef>
          </c:tx>
          <c:spPr>
            <a:solidFill>
              <a:schemeClr val="accent5"/>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Sheet1!$F$2:$F$65</c:f>
              <c:numCache>
                <c:formatCode>General</c:formatCode>
                <c:ptCount val="20"/>
                <c:pt idx="17">
                  <c:v>0</c:v>
                </c:pt>
                <c:pt idx="18">
                  <c:v>0</c:v>
                </c:pt>
                <c:pt idx="19">
                  <c:v>0</c:v>
                </c:pt>
              </c:numCache>
            </c:numRef>
          </c:val>
          <c:extLst>
            <c:ext xmlns:c16="http://schemas.microsoft.com/office/drawing/2014/chart" uri="{C3380CC4-5D6E-409C-BE32-E72D297353CC}">
              <c16:uniqueId val="{00000000-63FC-458E-B305-B27CDDE3FD08}"/>
            </c:ext>
          </c:extLst>
        </c:ser>
        <c:ser>
          <c:idx val="5"/>
          <c:order val="5"/>
          <c:tx>
            <c:strRef>
              <c:f>Sheet1!$G$1</c:f>
              <c:strCache>
                <c:ptCount val="1"/>
                <c:pt idx="0">
                  <c:v>Column3</c:v>
                </c:pt>
              </c:strCache>
            </c:strRef>
          </c:tx>
          <c:spPr>
            <a:solidFill>
              <a:schemeClr val="tx2">
                <a:lumMod val="20000"/>
                <a:lumOff val="80000"/>
                <a:alpha val="50000"/>
              </a:schemeClr>
            </a:solidFill>
            <a:ln>
              <a:noFill/>
            </a:ln>
            <a:effectLst/>
          </c:spPr>
          <c:cat>
            <c:strRef>
              <c:f>Sheet1!$A$2:$A$65</c:f>
              <c:strCache>
                <c:ptCount val="20"/>
                <c:pt idx="3">
                  <c:v>2019</c:v>
                </c:pt>
                <c:pt idx="7">
                  <c:v>2020</c:v>
                </c:pt>
                <c:pt idx="11">
                  <c:v>2021</c:v>
                </c:pt>
                <c:pt idx="15">
                  <c:v>2022</c:v>
                </c:pt>
                <c:pt idx="17">
                  <c:v>2023 - 1</c:v>
                </c:pt>
                <c:pt idx="18">
                  <c:v>2023 - 2</c:v>
                </c:pt>
                <c:pt idx="19">
                  <c:v>2023 - 3</c:v>
                </c:pt>
              </c:strCache>
            </c:strRef>
          </c:cat>
          <c:val>
            <c:numRef>
              <c:f>Sheet1!$G$2:$G$65</c:f>
              <c:numCache>
                <c:formatCode>General</c:formatCode>
                <c:ptCount val="20"/>
                <c:pt idx="17">
                  <c:v>1000</c:v>
                </c:pt>
                <c:pt idx="18">
                  <c:v>1000</c:v>
                </c:pt>
                <c:pt idx="19">
                  <c:v>1000</c:v>
                </c:pt>
              </c:numCache>
            </c:numRef>
          </c:val>
          <c:extLst>
            <c:ext xmlns:c16="http://schemas.microsoft.com/office/drawing/2014/chart" uri="{C3380CC4-5D6E-409C-BE32-E72D297353CC}">
              <c16:uniqueId val="{00000001-63FC-458E-B305-B27CDDE3FD08}"/>
            </c:ext>
          </c:extLst>
        </c:ser>
        <c:dLbls>
          <c:showLegendKey val="0"/>
          <c:showVal val="0"/>
          <c:showCatName val="0"/>
          <c:showSerName val="0"/>
          <c:showPercent val="0"/>
          <c:showBubbleSize val="0"/>
        </c:dLbls>
        <c:axId val="296403712"/>
        <c:axId val="296405248"/>
      </c:areaChart>
      <c:lineChart>
        <c:grouping val="standard"/>
        <c:varyColors val="0"/>
        <c:ser>
          <c:idx val="0"/>
          <c:order val="0"/>
          <c:tx>
            <c:strRef>
              <c:f>Sheet1!$B$1</c:f>
              <c:strCache>
                <c:ptCount val="1"/>
                <c:pt idx="0">
                  <c:v>2020թ. մարվող պարտատոմսեր</c:v>
                </c:pt>
              </c:strCache>
            </c:strRef>
          </c:tx>
          <c:spPr>
            <a:ln w="28575" cap="rnd">
              <a:solidFill>
                <a:schemeClr val="accent1"/>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Sheet1!$B$2:$B$65</c:f>
              <c:numCache>
                <c:formatCode>0.0</c:formatCode>
                <c:ptCount val="20"/>
                <c:pt idx="0">
                  <c:v>191.27349896480328</c:v>
                </c:pt>
                <c:pt idx="1">
                  <c:v>166.96399999999994</c:v>
                </c:pt>
                <c:pt idx="2">
                  <c:v>139.75714285714281</c:v>
                </c:pt>
                <c:pt idx="3">
                  <c:v>130.39000000000001</c:v>
                </c:pt>
                <c:pt idx="4">
                  <c:v>526.83973063973065</c:v>
                </c:pt>
                <c:pt idx="5">
                  <c:v>590.6481818181818</c:v>
                </c:pt>
                <c:pt idx="6">
                  <c:v>804.69166666666683</c:v>
                </c:pt>
              </c:numCache>
            </c:numRef>
          </c:val>
          <c:smooth val="0"/>
          <c:extLst>
            <c:ext xmlns:c16="http://schemas.microsoft.com/office/drawing/2014/chart" uri="{C3380CC4-5D6E-409C-BE32-E72D297353CC}">
              <c16:uniqueId val="{00000002-63FC-458E-B305-B27CDDE3FD08}"/>
            </c:ext>
          </c:extLst>
        </c:ser>
        <c:ser>
          <c:idx val="1"/>
          <c:order val="1"/>
          <c:tx>
            <c:strRef>
              <c:f>Sheet1!$C$1</c:f>
              <c:strCache>
                <c:ptCount val="1"/>
                <c:pt idx="0">
                  <c:v>2025թ. մարվող պարտատոմսեր</c:v>
                </c:pt>
              </c:strCache>
            </c:strRef>
          </c:tx>
          <c:spPr>
            <a:ln w="28575" cap="rnd">
              <a:solidFill>
                <a:schemeClr val="accent2"/>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Sheet1!$C$2:$C$65</c:f>
              <c:numCache>
                <c:formatCode>0.0</c:formatCode>
                <c:ptCount val="20"/>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7">
                  <c:v>214.18213636363632</c:v>
                </c:pt>
                <c:pt idx="18">
                  <c:v>182.17745000000002</c:v>
                </c:pt>
                <c:pt idx="19">
                  <c:v>206.25734782608694</c:v>
                </c:pt>
              </c:numCache>
            </c:numRef>
          </c:val>
          <c:smooth val="0"/>
          <c:extLst>
            <c:ext xmlns:c16="http://schemas.microsoft.com/office/drawing/2014/chart" uri="{C3380CC4-5D6E-409C-BE32-E72D297353CC}">
              <c16:uniqueId val="{00000003-63FC-458E-B305-B27CDDE3FD08}"/>
            </c:ext>
          </c:extLst>
        </c:ser>
        <c:ser>
          <c:idx val="2"/>
          <c:order val="2"/>
          <c:tx>
            <c:strRef>
              <c:f>Sheet1!$D$1</c:f>
              <c:strCache>
                <c:ptCount val="1"/>
                <c:pt idx="0">
                  <c:v>2029թ. մարվող պարտատոմսեր</c:v>
                </c:pt>
              </c:strCache>
            </c:strRef>
          </c:tx>
          <c:spPr>
            <a:ln w="28575" cap="rnd">
              <a:solidFill>
                <a:schemeClr val="accent3"/>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Sheet1!$D$2:$D$65</c:f>
              <c:numCache>
                <c:formatCode>General</c:formatCode>
                <c:ptCount val="20"/>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7" formatCode="0.0">
                  <c:v>336.59571428571428</c:v>
                </c:pt>
                <c:pt idx="18" formatCode="0.0">
                  <c:v>323.19130000000007</c:v>
                </c:pt>
                <c:pt idx="19" formatCode="0.0">
                  <c:v>373.95347826086959</c:v>
                </c:pt>
              </c:numCache>
            </c:numRef>
          </c:val>
          <c:smooth val="0"/>
          <c:extLst>
            <c:ext xmlns:c16="http://schemas.microsoft.com/office/drawing/2014/chart" uri="{C3380CC4-5D6E-409C-BE32-E72D297353CC}">
              <c16:uniqueId val="{00000004-63FC-458E-B305-B27CDDE3FD08}"/>
            </c:ext>
          </c:extLst>
        </c:ser>
        <c:ser>
          <c:idx val="3"/>
          <c:order val="3"/>
          <c:tx>
            <c:strRef>
              <c:f>Sheet1!$E$1</c:f>
              <c:strCache>
                <c:ptCount val="1"/>
                <c:pt idx="0">
                  <c:v>2031թ. մարվող պարտատոմսեր</c:v>
                </c:pt>
              </c:strCache>
            </c:strRef>
          </c:tx>
          <c:spPr>
            <a:ln w="28575" cap="rnd">
              <a:solidFill>
                <a:schemeClr val="accent4"/>
              </a:solidFill>
              <a:round/>
            </a:ln>
            <a:effectLst/>
          </c:spPr>
          <c:marker>
            <c:symbol val="none"/>
          </c:marker>
          <c:cat>
            <c:strRef>
              <c:f>Sheet1!$A$2:$A$65</c:f>
              <c:strCache>
                <c:ptCount val="20"/>
                <c:pt idx="3">
                  <c:v>2019</c:v>
                </c:pt>
                <c:pt idx="7">
                  <c:v>2020</c:v>
                </c:pt>
                <c:pt idx="11">
                  <c:v>2021</c:v>
                </c:pt>
                <c:pt idx="15">
                  <c:v>2022</c:v>
                </c:pt>
                <c:pt idx="17">
                  <c:v>2023 - 1</c:v>
                </c:pt>
                <c:pt idx="18">
                  <c:v>2023 - 2</c:v>
                </c:pt>
                <c:pt idx="19">
                  <c:v>2023 - 3</c:v>
                </c:pt>
              </c:strCache>
            </c:strRef>
          </c:cat>
          <c:val>
            <c:numRef>
              <c:f>Sheet1!$E$2:$E$65</c:f>
              <c:numCache>
                <c:formatCode>General</c:formatCode>
                <c:ptCount val="20"/>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7" formatCode="0.0">
                  <c:v>342.37304761904761</c:v>
                </c:pt>
                <c:pt idx="18" formatCode="0.0">
                  <c:v>350.27914999999996</c:v>
                </c:pt>
                <c:pt idx="19" formatCode="0.0">
                  <c:v>395.31556521739122</c:v>
                </c:pt>
              </c:numCache>
            </c:numRef>
          </c:val>
          <c:smooth val="0"/>
          <c:extLst>
            <c:ext xmlns:c16="http://schemas.microsoft.com/office/drawing/2014/chart" uri="{C3380CC4-5D6E-409C-BE32-E72D297353CC}">
              <c16:uniqueId val="{00000005-63FC-458E-B305-B27CDDE3FD08}"/>
            </c:ext>
          </c:extLst>
        </c:ser>
        <c:dLbls>
          <c:showLegendKey val="0"/>
          <c:showVal val="0"/>
          <c:showCatName val="0"/>
          <c:showSerName val="0"/>
          <c:showPercent val="0"/>
          <c:showBubbleSize val="0"/>
        </c:dLbls>
        <c:marker val="1"/>
        <c:smooth val="0"/>
        <c:axId val="296403712"/>
        <c:axId val="296405248"/>
      </c:lineChart>
      <c:catAx>
        <c:axId val="2964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05248"/>
        <c:crosses val="autoZero"/>
        <c:auto val="1"/>
        <c:lblAlgn val="ctr"/>
        <c:lblOffset val="100"/>
        <c:noMultiLvlLbl val="0"/>
      </c:catAx>
      <c:valAx>
        <c:axId val="296405248"/>
        <c:scaling>
          <c:orientation val="minMax"/>
          <c:max val="1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03712"/>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Ծավալը,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2019 I եռ․</c:v>
                </c:pt>
                <c:pt idx="1">
                  <c:v>2020 I եռ․</c:v>
                </c:pt>
                <c:pt idx="2">
                  <c:v>2021 I եռ․</c:v>
                </c:pt>
                <c:pt idx="3">
                  <c:v>2022 I եռ․</c:v>
                </c:pt>
                <c:pt idx="4">
                  <c:v>2023 I եռ․</c:v>
                </c:pt>
              </c:strCache>
            </c:strRef>
          </c:cat>
          <c:val>
            <c:numRef>
              <c:f>Sheet1!$B$2:$G$2</c:f>
              <c:numCache>
                <c:formatCode>0.0</c:formatCode>
                <c:ptCount val="5"/>
                <c:pt idx="0">
                  <c:v>299.65279576999995</c:v>
                </c:pt>
                <c:pt idx="1">
                  <c:v>349.03441781890001</c:v>
                </c:pt>
                <c:pt idx="2">
                  <c:v>332.894417277</c:v>
                </c:pt>
                <c:pt idx="3">
                  <c:v>400.55501477999991</c:v>
                </c:pt>
                <c:pt idx="4">
                  <c:v>461.35288834999994</c:v>
                </c:pt>
              </c:numCache>
            </c:numRef>
          </c:val>
          <c:extLst>
            <c:ext xmlns:c16="http://schemas.microsoft.com/office/drawing/2014/chart" uri="{C3380CC4-5D6E-409C-BE32-E72D297353CC}">
              <c16:uniqueId val="{00000009-03E1-47CD-B744-6533BED990F7}"/>
            </c:ext>
          </c:extLst>
        </c:ser>
        <c:dLbls>
          <c:showLegendKey val="0"/>
          <c:showVal val="0"/>
          <c:showCatName val="0"/>
          <c:showSerName val="0"/>
          <c:showPercent val="0"/>
          <c:showBubbleSize val="0"/>
        </c:dLbls>
        <c:gapWidth val="15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none"/>
          </c:marker>
          <c:dLbls>
            <c:dLbl>
              <c:idx val="3"/>
              <c:layout>
                <c:manualLayout>
                  <c:x val="-2.8665931642778551E-2"/>
                  <c:y val="-4.41014332965821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93A-4EE0-A9FA-857D454D8D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5"/>
                <c:pt idx="0">
                  <c:v>2019 I եռ․</c:v>
                </c:pt>
                <c:pt idx="1">
                  <c:v>2020 I եռ․</c:v>
                </c:pt>
                <c:pt idx="2">
                  <c:v>2021 I եռ․</c:v>
                </c:pt>
                <c:pt idx="3">
                  <c:v>2022 I եռ․</c:v>
                </c:pt>
                <c:pt idx="4">
                  <c:v>2023 I եռ․</c:v>
                </c:pt>
              </c:strCache>
            </c:strRef>
          </c:cat>
          <c:val>
            <c:numRef>
              <c:f>Sheet1!$B$3:$G$3</c:f>
              <c:numCache>
                <c:formatCode>0.0</c:formatCode>
                <c:ptCount val="5"/>
                <c:pt idx="0">
                  <c:v>24.930306464140301</c:v>
                </c:pt>
                <c:pt idx="1">
                  <c:v>16.479613321146246</c:v>
                </c:pt>
                <c:pt idx="2">
                  <c:v>-4.6241859592982593</c:v>
                </c:pt>
                <c:pt idx="3">
                  <c:v>20.324942081170391</c:v>
                </c:pt>
                <c:pt idx="4">
                  <c:v>15.178407790848041</c:v>
                </c:pt>
              </c:numCache>
            </c:numRef>
          </c:val>
          <c:smooth val="0"/>
          <c:extLst>
            <c:ext xmlns:c16="http://schemas.microsoft.com/office/drawing/2014/chart" uri="{C3380CC4-5D6E-409C-BE32-E72D297353CC}">
              <c16:uniqueId val="{00000000-03E1-47CD-B744-6533BED990F7}"/>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6.4211686879823607E-2"/>
          <c:y val="0.88794555035637079"/>
          <c:w val="0.87598676957001098"/>
          <c:h val="8.559358966567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89217968048592944"/>
          <c:h val="0.67820434242853045"/>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Sheet1!$B$2:$B$7</c:f>
              <c:numCache>
                <c:formatCode>0</c:formatCode>
                <c:ptCount val="5"/>
                <c:pt idx="0">
                  <c:v>283.10170429000004</c:v>
                </c:pt>
                <c:pt idx="1">
                  <c:v>315.32759172999999</c:v>
                </c:pt>
                <c:pt idx="2">
                  <c:v>355.80592034999995</c:v>
                </c:pt>
                <c:pt idx="3">
                  <c:v>362.16890087000007</c:v>
                </c:pt>
                <c:pt idx="4">
                  <c:v>394.17842281000009</c:v>
                </c:pt>
              </c:numCache>
            </c:numRef>
          </c:val>
          <c:extLst>
            <c:ext xmlns:c16="http://schemas.microsoft.com/office/drawing/2014/chart" uri="{C3380CC4-5D6E-409C-BE32-E72D297353CC}">
              <c16:uniqueId val="{00000000-91BF-41DC-884A-A8E0CB51914D}"/>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5"/>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55-484E-B8E9-367294B42A3C}"/>
                </c:ext>
              </c:extLst>
            </c:dLbl>
            <c:dLbl>
              <c:idx val="6"/>
              <c:layout>
                <c:manualLayout>
                  <c:x val="-9.9626400996264006E-2"/>
                  <c:y val="-3.528114663726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55-484E-B8E9-367294B42A3C}"/>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Sheet1!$C$2:$C$7</c:f>
              <c:numCache>
                <c:formatCode>0.0</c:formatCode>
                <c:ptCount val="5"/>
                <c:pt idx="0">
                  <c:v>4.8644738801974796</c:v>
                </c:pt>
                <c:pt idx="1">
                  <c:v>11.383148512235323</c:v>
                </c:pt>
                <c:pt idx="2">
                  <c:v>12.836913001466627</c:v>
                </c:pt>
                <c:pt idx="3">
                  <c:v>1.7883290176119004</c:v>
                </c:pt>
                <c:pt idx="4">
                  <c:v>8.8382856349915642</c:v>
                </c:pt>
              </c:numCache>
            </c:numRef>
          </c:val>
          <c:smooth val="0"/>
          <c:extLst>
            <c:ext xmlns:c16="http://schemas.microsoft.com/office/drawing/2014/chart" uri="{C3380CC4-5D6E-409C-BE32-E72D297353CC}">
              <c16:uniqueId val="{00000001-91BF-41DC-884A-A8E0CB51914D}"/>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Sheet1!$B$2:$B$7</c:f>
              <c:numCache>
                <c:formatCode>0.0</c:formatCode>
                <c:ptCount val="5"/>
                <c:pt idx="0">
                  <c:v>5.5826538000000001</c:v>
                </c:pt>
                <c:pt idx="1">
                  <c:v>17.133829710000001</c:v>
                </c:pt>
                <c:pt idx="2">
                  <c:v>49.642783360000003</c:v>
                </c:pt>
                <c:pt idx="3">
                  <c:v>37.178869939999998</c:v>
                </c:pt>
                <c:pt idx="4" formatCode="0">
                  <c:v>30.399877569999997</c:v>
                </c:pt>
              </c:numCache>
            </c:numRef>
          </c:val>
          <c:extLst>
            <c:ext xmlns:c16="http://schemas.microsoft.com/office/drawing/2014/chart" uri="{C3380CC4-5D6E-409C-BE32-E72D297353CC}">
              <c16:uniqueId val="{00000000-3142-476C-BD7A-D595CCAF0D37}"/>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C-44E0-8F36-00A667DE347B}"/>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AC-44E0-8F36-00A667DE347B}"/>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5"/>
                <c:pt idx="0">
                  <c:v>2019 I եռ․</c:v>
                </c:pt>
                <c:pt idx="1">
                  <c:v>2020 I եռ․</c:v>
                </c:pt>
                <c:pt idx="2">
                  <c:v>2021 I եռ․</c:v>
                </c:pt>
                <c:pt idx="3">
                  <c:v>2022 I եռ․</c:v>
                </c:pt>
                <c:pt idx="4">
                  <c:v>2023 I եռ․</c:v>
                </c:pt>
              </c:strCache>
            </c:strRef>
          </c:cat>
          <c:val>
            <c:numRef>
              <c:f>Sheet1!$C$2:$C$7</c:f>
              <c:numCache>
                <c:formatCode>0.0</c:formatCode>
                <c:ptCount val="5"/>
                <c:pt idx="0">
                  <c:v>-61.330615774446059</c:v>
                </c:pt>
                <c:pt idx="1">
                  <c:v>206.91191544064577</c:v>
                </c:pt>
                <c:pt idx="2">
                  <c:v>189.73547770832846</c:v>
                </c:pt>
                <c:pt idx="3">
                  <c:v>-25.107201039905604</c:v>
                </c:pt>
                <c:pt idx="4">
                  <c:v>-18.233454596495463</c:v>
                </c:pt>
              </c:numCache>
            </c:numRef>
          </c:val>
          <c:smooth val="0"/>
          <c:extLst>
            <c:ext xmlns:c16="http://schemas.microsoft.com/office/drawing/2014/chart" uri="{C3380CC4-5D6E-409C-BE32-E72D297353CC}">
              <c16:uniqueId val="{00000001-3142-476C-BD7A-D595CCAF0D37}"/>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Sheet1!$A$2:$A$38</c:f>
              <c:strCache>
                <c:ptCount val="17"/>
                <c:pt idx="0">
                  <c:v>2019-I եռ.</c:v>
                </c:pt>
                <c:pt idx="1">
                  <c:v>2019-I կիս.</c:v>
                </c:pt>
                <c:pt idx="2">
                  <c:v>2019-I-III եռ.</c:v>
                </c:pt>
                <c:pt idx="3">
                  <c:v>2019.0</c:v>
                </c:pt>
                <c:pt idx="4">
                  <c:v>2020-I եռ.</c:v>
                </c:pt>
                <c:pt idx="5">
                  <c:v>2020-I կիս.</c:v>
                </c:pt>
                <c:pt idx="6">
                  <c:v>2020-I-III եռ.</c:v>
                </c:pt>
                <c:pt idx="7">
                  <c:v>2020.0</c:v>
                </c:pt>
                <c:pt idx="8">
                  <c:v>2021-I եռ.</c:v>
                </c:pt>
                <c:pt idx="9">
                  <c:v>2021-I կիս.</c:v>
                </c:pt>
                <c:pt idx="10">
                  <c:v>2021-I-III եռ.</c:v>
                </c:pt>
                <c:pt idx="11">
                  <c:v>2021.0</c:v>
                </c:pt>
                <c:pt idx="12">
                  <c:v>2022-I եռ.</c:v>
                </c:pt>
                <c:pt idx="13">
                  <c:v>2022-I կիս.</c:v>
                </c:pt>
                <c:pt idx="14">
                  <c:v>2022-I-III եռ.</c:v>
                </c:pt>
                <c:pt idx="15">
                  <c:v>2022.0</c:v>
                </c:pt>
                <c:pt idx="16">
                  <c:v>2023-I եռ.</c:v>
                </c:pt>
              </c:strCache>
            </c:strRef>
          </c:cat>
          <c:val>
            <c:numRef>
              <c:f>Sheet1!$B$2:$B$38</c:f>
              <c:numCache>
                <c:formatCode>0.0</c:formatCode>
                <c:ptCount val="17"/>
                <c:pt idx="0">
                  <c:v>-0.29605774007373481</c:v>
                </c:pt>
                <c:pt idx="1">
                  <c:v>-1.4946169339765136</c:v>
                </c:pt>
                <c:pt idx="2">
                  <c:v>-1.5711012122805816</c:v>
                </c:pt>
                <c:pt idx="3">
                  <c:v>-1.1516344514139831</c:v>
                </c:pt>
                <c:pt idx="4">
                  <c:v>-1.1385808713108454</c:v>
                </c:pt>
                <c:pt idx="5">
                  <c:v>-0.40457736245829973</c:v>
                </c:pt>
                <c:pt idx="6">
                  <c:v>0.34461098379375399</c:v>
                </c:pt>
                <c:pt idx="7">
                  <c:v>0.59026098941645477</c:v>
                </c:pt>
                <c:pt idx="8">
                  <c:v>0.84616314732827036</c:v>
                </c:pt>
                <c:pt idx="9">
                  <c:v>0.52646360013243787</c:v>
                </c:pt>
                <c:pt idx="10">
                  <c:v>-0.24804254424107045</c:v>
                </c:pt>
                <c:pt idx="11">
                  <c:v>-0.45268809792632697</c:v>
                </c:pt>
                <c:pt idx="12">
                  <c:v>-2.8530203579494073</c:v>
                </c:pt>
                <c:pt idx="13">
                  <c:v>-2.2010601016723665</c:v>
                </c:pt>
                <c:pt idx="14">
                  <c:v>-1.1654654530412838</c:v>
                </c:pt>
                <c:pt idx="15">
                  <c:v>-0.17963175663896511</c:v>
                </c:pt>
                <c:pt idx="16">
                  <c:v>1.6564619151799929</c:v>
                </c:pt>
              </c:numCache>
            </c:numRef>
          </c:val>
          <c:extLst>
            <c:ext xmlns:c16="http://schemas.microsoft.com/office/drawing/2014/chart" uri="{C3380CC4-5D6E-409C-BE32-E72D297353CC}">
              <c16:uniqueId val="{00000000-302B-4753-80E4-23885FA88F34}"/>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Sheet1!$A$2:$A$38</c:f>
              <c:strCache>
                <c:ptCount val="17"/>
                <c:pt idx="0">
                  <c:v>2019-I եռ.</c:v>
                </c:pt>
                <c:pt idx="1">
                  <c:v>2019-I կիս.</c:v>
                </c:pt>
                <c:pt idx="2">
                  <c:v>2019-I-III եռ.</c:v>
                </c:pt>
                <c:pt idx="3">
                  <c:v>2019.0</c:v>
                </c:pt>
                <c:pt idx="4">
                  <c:v>2020-I եռ.</c:v>
                </c:pt>
                <c:pt idx="5">
                  <c:v>2020-I կիս.</c:v>
                </c:pt>
                <c:pt idx="6">
                  <c:v>2020-I-III եռ.</c:v>
                </c:pt>
                <c:pt idx="7">
                  <c:v>2020.0</c:v>
                </c:pt>
                <c:pt idx="8">
                  <c:v>2021-I եռ.</c:v>
                </c:pt>
                <c:pt idx="9">
                  <c:v>2021-I կիս.</c:v>
                </c:pt>
                <c:pt idx="10">
                  <c:v>2021-I-III եռ.</c:v>
                </c:pt>
                <c:pt idx="11">
                  <c:v>2021.0</c:v>
                </c:pt>
                <c:pt idx="12">
                  <c:v>2022-I եռ.</c:v>
                </c:pt>
                <c:pt idx="13">
                  <c:v>2022-I կիս.</c:v>
                </c:pt>
                <c:pt idx="14">
                  <c:v>2022-I-III եռ.</c:v>
                </c:pt>
                <c:pt idx="15">
                  <c:v>2022.0</c:v>
                </c:pt>
                <c:pt idx="16">
                  <c:v>2023-I եռ.</c:v>
                </c:pt>
              </c:strCache>
            </c:strRef>
          </c:cat>
          <c:val>
            <c:numRef>
              <c:f>Sheet1!$C$2:$C$38</c:f>
              <c:numCache>
                <c:formatCode>0.0</c:formatCode>
                <c:ptCount val="17"/>
                <c:pt idx="0">
                  <c:v>-1.4845693099451553</c:v>
                </c:pt>
                <c:pt idx="1">
                  <c:v>-0.73744833311063895</c:v>
                </c:pt>
                <c:pt idx="2">
                  <c:v>1.1342613897235347</c:v>
                </c:pt>
                <c:pt idx="3">
                  <c:v>1.0312041178910254</c:v>
                </c:pt>
                <c:pt idx="4">
                  <c:v>2.9000330051763488</c:v>
                </c:pt>
                <c:pt idx="5">
                  <c:v>5.2168936288117598</c:v>
                </c:pt>
                <c:pt idx="6">
                  <c:v>3.7860772715526259</c:v>
                </c:pt>
                <c:pt idx="7">
                  <c:v>3.8296328572976641</c:v>
                </c:pt>
                <c:pt idx="8">
                  <c:v>2.3517279837672005</c:v>
                </c:pt>
                <c:pt idx="9">
                  <c:v>-0.26520936285382035</c:v>
                </c:pt>
                <c:pt idx="10">
                  <c:v>-0.90688370916737415</c:v>
                </c:pt>
                <c:pt idx="11">
                  <c:v>-1.5664482332043781</c:v>
                </c:pt>
                <c:pt idx="12">
                  <c:v>-2.0274815294451449</c:v>
                </c:pt>
                <c:pt idx="13">
                  <c:v>-1.7933177508484999</c:v>
                </c:pt>
                <c:pt idx="14">
                  <c:v>-1.075933751113648</c:v>
                </c:pt>
                <c:pt idx="15">
                  <c:v>-1.9154966131664306</c:v>
                </c:pt>
                <c:pt idx="16">
                  <c:v>-2.2855847938925251</c:v>
                </c:pt>
              </c:numCache>
            </c:numRef>
          </c:val>
          <c:extLst>
            <c:ext xmlns:c16="http://schemas.microsoft.com/office/drawing/2014/chart" uri="{C3380CC4-5D6E-409C-BE32-E72D297353CC}">
              <c16:uniqueId val="{00000001-302B-4753-80E4-23885FA88F34}"/>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1"/>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02B-4753-80E4-23885FA88F34}"/>
                </c:ext>
              </c:extLst>
            </c:dLbl>
            <c:dLbl>
              <c:idx val="2"/>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02B-4753-80E4-23885FA88F34}"/>
                </c:ext>
              </c:extLst>
            </c:dLbl>
            <c:dLbl>
              <c:idx val="3"/>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302B-4753-80E4-23885FA88F34}"/>
                </c:ext>
              </c:extLst>
            </c:dLbl>
            <c:dLbl>
              <c:idx val="4"/>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02B-4753-80E4-23885FA88F34}"/>
                </c:ext>
              </c:extLst>
            </c:dLbl>
            <c:dLbl>
              <c:idx val="8"/>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02B-4753-80E4-23885FA88F3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Sheet1!$A$2:$A$38</c:f>
              <c:strCache>
                <c:ptCount val="17"/>
                <c:pt idx="0">
                  <c:v>2019-I եռ.</c:v>
                </c:pt>
                <c:pt idx="1">
                  <c:v>2019-I կիս.</c:v>
                </c:pt>
                <c:pt idx="2">
                  <c:v>2019-I-III եռ.</c:v>
                </c:pt>
                <c:pt idx="3">
                  <c:v>2019.0</c:v>
                </c:pt>
                <c:pt idx="4">
                  <c:v>2020-I եռ.</c:v>
                </c:pt>
                <c:pt idx="5">
                  <c:v>2020-I կիս.</c:v>
                </c:pt>
                <c:pt idx="6">
                  <c:v>2020-I-III եռ.</c:v>
                </c:pt>
                <c:pt idx="7">
                  <c:v>2020.0</c:v>
                </c:pt>
                <c:pt idx="8">
                  <c:v>2021-I եռ.</c:v>
                </c:pt>
                <c:pt idx="9">
                  <c:v>2021-I կիս.</c:v>
                </c:pt>
                <c:pt idx="10">
                  <c:v>2021-I-III եռ.</c:v>
                </c:pt>
                <c:pt idx="11">
                  <c:v>2021.0</c:v>
                </c:pt>
                <c:pt idx="12">
                  <c:v>2022-I եռ.</c:v>
                </c:pt>
                <c:pt idx="13">
                  <c:v>2022-I կիս.</c:v>
                </c:pt>
                <c:pt idx="14">
                  <c:v>2022-I-III եռ.</c:v>
                </c:pt>
                <c:pt idx="15">
                  <c:v>2022.0</c:v>
                </c:pt>
                <c:pt idx="16">
                  <c:v>2023-I եռ.</c:v>
                </c:pt>
              </c:strCache>
            </c:strRef>
          </c:cat>
          <c:val>
            <c:numRef>
              <c:f>Sheet1!$D$2:$D$38</c:f>
              <c:numCache>
                <c:formatCode>0.0</c:formatCode>
                <c:ptCount val="17"/>
                <c:pt idx="0">
                  <c:v>-1.7806270500188901</c:v>
                </c:pt>
                <c:pt idx="1">
                  <c:v>-2.2320652670871528</c:v>
                </c:pt>
                <c:pt idx="2">
                  <c:v>-0.4368398225570469</c:v>
                </c:pt>
                <c:pt idx="3">
                  <c:v>-0.12043033352295773</c:v>
                </c:pt>
                <c:pt idx="4">
                  <c:v>1.7614521338655034</c:v>
                </c:pt>
                <c:pt idx="5">
                  <c:v>4.8123162663534602</c:v>
                </c:pt>
                <c:pt idx="6">
                  <c:v>4.1306882553463797</c:v>
                </c:pt>
                <c:pt idx="7">
                  <c:v>4.4198938467141193</c:v>
                </c:pt>
                <c:pt idx="8">
                  <c:v>3.1978911310954707</c:v>
                </c:pt>
                <c:pt idx="9">
                  <c:v>0.26125423727861752</c:v>
                </c:pt>
                <c:pt idx="10">
                  <c:v>-1.1549262534084446</c:v>
                </c:pt>
                <c:pt idx="11">
                  <c:v>-2.0191363311307051</c:v>
                </c:pt>
                <c:pt idx="12">
                  <c:v>-4.8805018873945523</c:v>
                </c:pt>
                <c:pt idx="13">
                  <c:v>-3.9943778525208664</c:v>
                </c:pt>
                <c:pt idx="14">
                  <c:v>-2.2413992041549315</c:v>
                </c:pt>
                <c:pt idx="15">
                  <c:v>-2.0951283698053955</c:v>
                </c:pt>
                <c:pt idx="16">
                  <c:v>-0.62912287871253225</c:v>
                </c:pt>
              </c:numCache>
            </c:numRef>
          </c:val>
          <c:smooth val="0"/>
          <c:extLst>
            <c:ext xmlns:c16="http://schemas.microsoft.com/office/drawing/2014/chart" uri="{C3380CC4-5D6E-409C-BE32-E72D297353CC}">
              <c16:uniqueId val="{00000007-302B-4753-80E4-23885FA88F34}"/>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5424"/>
        <c:crosses val="autoZero"/>
        <c:crossBetween val="between"/>
      </c:valAx>
      <c:spPr>
        <a:ln w="9525">
          <a:solidFill>
            <a:sysClr val="window" lastClr="FFFFFF">
              <a:lumMod val="75000"/>
            </a:sysClr>
          </a:solid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2775672915362"/>
          <c:y val="6.4516129032258063E-2"/>
          <c:w val="0.72310348235759236"/>
          <c:h val="0.5409212978812431"/>
        </c:manualLayout>
      </c:layout>
      <c:lineChart>
        <c:grouping val="standard"/>
        <c:varyColors val="0"/>
        <c:ser>
          <c:idx val="1"/>
          <c:order val="1"/>
          <c:tx>
            <c:strRef>
              <c:f>Sheet1!$C$1</c:f>
              <c:strCache>
                <c:ptCount val="1"/>
                <c:pt idx="0">
                  <c:v>Պղինձ, դոլար/տոննա</c:v>
                </c:pt>
              </c:strCache>
            </c:strRef>
          </c:tx>
          <c:spPr>
            <a:ln w="28560" cap="rnd">
              <a:solidFill>
                <a:schemeClr val="accent1"/>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0</c:formatCode>
                <c:ptCount val="51"/>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c:v>7972.15</c:v>
                </c:pt>
                <c:pt idx="25">
                  <c:v>8470.94</c:v>
                </c:pt>
                <c:pt idx="26">
                  <c:v>8988.25</c:v>
                </c:pt>
                <c:pt idx="27">
                  <c:v>9324.82</c:v>
                </c:pt>
                <c:pt idx="28">
                  <c:v>10161.969999999999</c:v>
                </c:pt>
                <c:pt idx="29">
                  <c:v>9631.5</c:v>
                </c:pt>
                <c:pt idx="30">
                  <c:v>9450.82</c:v>
                </c:pt>
                <c:pt idx="31">
                  <c:v>9370.14</c:v>
                </c:pt>
                <c:pt idx="32">
                  <c:v>9324.7099999999991</c:v>
                </c:pt>
                <c:pt idx="33">
                  <c:v>9829.2199999999993</c:v>
                </c:pt>
                <c:pt idx="34">
                  <c:v>9728.9</c:v>
                </c:pt>
                <c:pt idx="35">
                  <c:v>9551.18</c:v>
                </c:pt>
                <c:pt idx="36">
                  <c:v>9782.34</c:v>
                </c:pt>
                <c:pt idx="37">
                  <c:v>9943.17</c:v>
                </c:pt>
                <c:pt idx="38">
                  <c:v>10230.89</c:v>
                </c:pt>
                <c:pt idx="39">
                  <c:v>10161.379999999999</c:v>
                </c:pt>
                <c:pt idx="40">
                  <c:v>9377.15</c:v>
                </c:pt>
                <c:pt idx="41">
                  <c:v>9024.4599999999991</c:v>
                </c:pt>
                <c:pt idx="42">
                  <c:v>7544.81</c:v>
                </c:pt>
                <c:pt idx="43">
                  <c:v>7981.84</c:v>
                </c:pt>
                <c:pt idx="44">
                  <c:v>7746.01</c:v>
                </c:pt>
                <c:pt idx="45">
                  <c:v>7651.08</c:v>
                </c:pt>
                <c:pt idx="46">
                  <c:v>8049.86</c:v>
                </c:pt>
                <c:pt idx="47">
                  <c:v>8375.4</c:v>
                </c:pt>
                <c:pt idx="48" formatCode="General">
                  <c:v>9038</c:v>
                </c:pt>
                <c:pt idx="49">
                  <c:v>8936.6</c:v>
                </c:pt>
                <c:pt idx="50">
                  <c:v>8856.2999999999993</c:v>
                </c:pt>
              </c:numCache>
            </c:numRef>
          </c:val>
          <c:smooth val="0"/>
          <c:extLst>
            <c:ext xmlns:c16="http://schemas.microsoft.com/office/drawing/2014/chart" uri="{C3380CC4-5D6E-409C-BE32-E72D297353CC}">
              <c16:uniqueId val="{00000000-1C6A-4B16-882F-0A1D64F7C154}"/>
            </c:ext>
          </c:extLst>
        </c:ser>
        <c:dLbls>
          <c:showLegendKey val="0"/>
          <c:showVal val="0"/>
          <c:showCatName val="0"/>
          <c:showSerName val="0"/>
          <c:showPercent val="0"/>
          <c:showBubbleSize val="0"/>
        </c:dLbls>
        <c:marker val="1"/>
        <c:smooth val="0"/>
        <c:axId val="268240384"/>
        <c:axId val="268241920"/>
      </c:lineChart>
      <c:lineChart>
        <c:grouping val="standard"/>
        <c:varyColors val="0"/>
        <c:ser>
          <c:idx val="0"/>
          <c:order val="0"/>
          <c:tx>
            <c:strRef>
              <c:f>Sheet1!$B$1</c:f>
              <c:strCache>
                <c:ptCount val="1"/>
                <c:pt idx="0">
                  <c:v>Նավթ, դոլար/բարել, աջ առանցք</c:v>
                </c:pt>
              </c:strCache>
            </c:strRef>
          </c:tx>
          <c:spPr>
            <a:ln w="28560" cap="rnd">
              <a:solidFill>
                <a:schemeClr val="accent6"/>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0</c:formatCode>
                <c:ptCount val="51"/>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c:v>54.55</c:v>
                </c:pt>
                <c:pt idx="25">
                  <c:v>61.96</c:v>
                </c:pt>
                <c:pt idx="26">
                  <c:v>65.19</c:v>
                </c:pt>
                <c:pt idx="27">
                  <c:v>64.77</c:v>
                </c:pt>
                <c:pt idx="28">
                  <c:v>68.040000000000006</c:v>
                </c:pt>
                <c:pt idx="29">
                  <c:v>73.069999999999993</c:v>
                </c:pt>
                <c:pt idx="30">
                  <c:v>74.39</c:v>
                </c:pt>
                <c:pt idx="31">
                  <c:v>70.02</c:v>
                </c:pt>
                <c:pt idx="32">
                  <c:v>74.599999999999994</c:v>
                </c:pt>
                <c:pt idx="33">
                  <c:v>83.65</c:v>
                </c:pt>
                <c:pt idx="34">
                  <c:v>80.77</c:v>
                </c:pt>
                <c:pt idx="35">
                  <c:v>74.31</c:v>
                </c:pt>
                <c:pt idx="36">
                  <c:v>85.53</c:v>
                </c:pt>
                <c:pt idx="37">
                  <c:v>95.76</c:v>
                </c:pt>
                <c:pt idx="38">
                  <c:v>115.59</c:v>
                </c:pt>
                <c:pt idx="39">
                  <c:v>105.78</c:v>
                </c:pt>
                <c:pt idx="40">
                  <c:v>112.37</c:v>
                </c:pt>
                <c:pt idx="41">
                  <c:v>120.08</c:v>
                </c:pt>
                <c:pt idx="42">
                  <c:v>108.92</c:v>
                </c:pt>
                <c:pt idx="43">
                  <c:v>98.6</c:v>
                </c:pt>
                <c:pt idx="44">
                  <c:v>90.16</c:v>
                </c:pt>
                <c:pt idx="45">
                  <c:v>93.13</c:v>
                </c:pt>
                <c:pt idx="46">
                  <c:v>91.07</c:v>
                </c:pt>
                <c:pt idx="47">
                  <c:v>80.900000000000006</c:v>
                </c:pt>
                <c:pt idx="48">
                  <c:v>83.1</c:v>
                </c:pt>
                <c:pt idx="49">
                  <c:v>82.7</c:v>
                </c:pt>
                <c:pt idx="50">
                  <c:v>78.5</c:v>
                </c:pt>
              </c:numCache>
            </c:numRef>
          </c:val>
          <c:smooth val="0"/>
          <c:extLst>
            <c:ext xmlns:c16="http://schemas.microsoft.com/office/drawing/2014/chart" uri="{C3380CC4-5D6E-409C-BE32-E72D297353CC}">
              <c16:uniqueId val="{00000001-1C6A-4B16-882F-0A1D64F7C154}"/>
            </c:ext>
          </c:extLst>
        </c:ser>
        <c:ser>
          <c:idx val="2"/>
          <c:order val="2"/>
          <c:tx>
            <c:strRef>
              <c:f>Sheet1!$D$1</c:f>
              <c:strCache>
                <c:ptCount val="1"/>
                <c:pt idx="0">
                  <c:v>Մոլիբդեն, հազար դոլար/տոննա, աջ առանցք</c:v>
                </c:pt>
              </c:strCache>
            </c:strRef>
          </c:tx>
          <c:spPr>
            <a:ln w="28560" cap="rnd">
              <a:solidFill>
                <a:schemeClr val="tx2"/>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0</c:formatCode>
                <c:ptCount val="51"/>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c:v>22.438650000000003</c:v>
                </c:pt>
                <c:pt idx="25">
                  <c:v>25.669520000000002</c:v>
                </c:pt>
                <c:pt idx="26">
                  <c:v>26.593499999999999</c:v>
                </c:pt>
                <c:pt idx="27">
                  <c:v>24.53304</c:v>
                </c:pt>
                <c:pt idx="28">
                  <c:v>28.057130000000001</c:v>
                </c:pt>
                <c:pt idx="29">
                  <c:v>38.750300000000003</c:v>
                </c:pt>
                <c:pt idx="30">
                  <c:v>40.744430000000001</c:v>
                </c:pt>
                <c:pt idx="31">
                  <c:v>41.846890000000002</c:v>
                </c:pt>
                <c:pt idx="32">
                  <c:v>43.57837</c:v>
                </c:pt>
                <c:pt idx="33">
                  <c:v>41.836390000000002</c:v>
                </c:pt>
                <c:pt idx="34">
                  <c:v>41.931919999999998</c:v>
                </c:pt>
                <c:pt idx="35">
                  <c:v>44.75</c:v>
                </c:pt>
                <c:pt idx="36">
                  <c:v>44.75</c:v>
                </c:pt>
                <c:pt idx="37">
                  <c:v>46.499724999999998</c:v>
                </c:pt>
                <c:pt idx="38">
                  <c:v>48.317864247499998</c:v>
                </c:pt>
                <c:pt idx="39">
                  <c:v>46.539000000000001</c:v>
                </c:pt>
                <c:pt idx="40">
                  <c:v>45.773857142857146</c:v>
                </c:pt>
                <c:pt idx="41">
                  <c:v>43.546999999999997</c:v>
                </c:pt>
                <c:pt idx="42">
                  <c:v>43.432000000000002</c:v>
                </c:pt>
                <c:pt idx="43">
                  <c:v>38.496499999999997</c:v>
                </c:pt>
                <c:pt idx="44">
                  <c:v>40.328000000000003</c:v>
                </c:pt>
                <c:pt idx="45">
                  <c:v>45.180999999999997</c:v>
                </c:pt>
                <c:pt idx="46">
                  <c:v>46.866999999999997</c:v>
                </c:pt>
                <c:pt idx="47">
                  <c:v>46.627000000000002</c:v>
                </c:pt>
                <c:pt idx="48">
                  <c:v>73.599999999999994</c:v>
                </c:pt>
                <c:pt idx="49">
                  <c:v>96.1</c:v>
                </c:pt>
                <c:pt idx="50">
                  <c:v>74.099999999999994</c:v>
                </c:pt>
              </c:numCache>
            </c:numRef>
          </c:val>
          <c:smooth val="0"/>
          <c:extLst>
            <c:ext xmlns:c16="http://schemas.microsoft.com/office/drawing/2014/chart" uri="{C3380CC4-5D6E-409C-BE32-E72D297353CC}">
              <c16:uniqueId val="{00000002-1C6A-4B16-882F-0A1D64F7C154}"/>
            </c:ext>
          </c:extLst>
        </c:ser>
        <c:dLbls>
          <c:showLegendKey val="0"/>
          <c:showVal val="0"/>
          <c:showCatName val="0"/>
          <c:showSerName val="0"/>
          <c:showPercent val="0"/>
          <c:showBubbleSize val="0"/>
        </c:dLbls>
        <c:marker val="1"/>
        <c:smooth val="0"/>
        <c:axId val="268260096"/>
        <c:axId val="268261632"/>
      </c:lineChart>
      <c:catAx>
        <c:axId val="26824038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41920"/>
        <c:crosses val="autoZero"/>
        <c:auto val="1"/>
        <c:lblAlgn val="ctr"/>
        <c:lblOffset val="100"/>
        <c:noMultiLvlLbl val="0"/>
      </c:catAx>
      <c:valAx>
        <c:axId val="268241920"/>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40384"/>
        <c:crosses val="autoZero"/>
        <c:crossBetween val="between"/>
      </c:valAx>
      <c:catAx>
        <c:axId val="268260096"/>
        <c:scaling>
          <c:orientation val="minMax"/>
        </c:scaling>
        <c:delete val="1"/>
        <c:axPos val="b"/>
        <c:numFmt formatCode="General" sourceLinked="1"/>
        <c:majorTickMark val="out"/>
        <c:minorTickMark val="none"/>
        <c:tickLblPos val="nextTo"/>
        <c:crossAx val="268261632"/>
        <c:crosses val="autoZero"/>
        <c:auto val="1"/>
        <c:lblAlgn val="ctr"/>
        <c:lblOffset val="100"/>
        <c:noMultiLvlLbl val="0"/>
      </c:catAx>
      <c:valAx>
        <c:axId val="268261632"/>
        <c:scaling>
          <c:orientation val="minMax"/>
        </c:scaling>
        <c:delete val="0"/>
        <c:axPos val="r"/>
        <c:numFmt formatCode="0" sourceLinked="1"/>
        <c:majorTickMark val="out"/>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260096"/>
        <c:crosses val="max"/>
        <c:crossBetween val="between"/>
      </c:valAx>
      <c:spPr>
        <a:noFill/>
        <a:ln w="25387">
          <a:noFill/>
        </a:ln>
      </c:spPr>
    </c:plotArea>
    <c:legend>
      <c:legendPos val="b"/>
      <c:layout>
        <c:manualLayout>
          <c:xMode val="edge"/>
          <c:yMode val="edge"/>
          <c:x val="4.4129483814523184E-3"/>
          <c:y val="0.80203579815680925"/>
          <c:w val="0.9831025212757496"/>
          <c:h val="0.19796380715568451"/>
        </c:manualLayout>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0"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13904375767289"/>
          <c:y val="4.9132568689029481E-2"/>
          <c:w val="0.73015263297291988"/>
          <c:h val="0.585868114029099"/>
        </c:manualLayout>
      </c:layout>
      <c:lineChart>
        <c:grouping val="standard"/>
        <c:varyColors val="0"/>
        <c:ser>
          <c:idx val="0"/>
          <c:order val="0"/>
          <c:tx>
            <c:strRef>
              <c:f>Sheet1!$B$1</c:f>
              <c:strCache>
                <c:ptCount val="1"/>
                <c:pt idx="0">
                  <c:v>Պարենի գնի համաթիվ</c:v>
                </c:pt>
              </c:strCache>
            </c:strRef>
          </c:tx>
          <c:spPr>
            <a:ln w="28562" cap="rnd">
              <a:solidFill>
                <a:srgbClr val="1F497D"/>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Sheet1!$B$2:$B$64</c:f>
              <c:numCache>
                <c:formatCode>0.0</c:formatCode>
                <c:ptCount val="51"/>
                <c:pt idx="0">
                  <c:v>96.396920677668561</c:v>
                </c:pt>
                <c:pt idx="1">
                  <c:v>97.114633253123984</c:v>
                </c:pt>
                <c:pt idx="2">
                  <c:v>96.235101892453102</c:v>
                </c:pt>
                <c:pt idx="3">
                  <c:v>96.703016576844632</c:v>
                </c:pt>
                <c:pt idx="4">
                  <c:v>97.380985692584261</c:v>
                </c:pt>
                <c:pt idx="5">
                  <c:v>98.5558763391886</c:v>
                </c:pt>
                <c:pt idx="6">
                  <c:v>98.289378100952291</c:v>
                </c:pt>
                <c:pt idx="7">
                  <c:v>97.191438886050946</c:v>
                </c:pt>
                <c:pt idx="8">
                  <c:v>96.452264497395632</c:v>
                </c:pt>
                <c:pt idx="9">
                  <c:v>98.393026688923783</c:v>
                </c:pt>
                <c:pt idx="10">
                  <c:v>101.88344298131582</c:v>
                </c:pt>
                <c:pt idx="11">
                  <c:v>104.3426749827853</c:v>
                </c:pt>
                <c:pt idx="12">
                  <c:v>105.90080612869684</c:v>
                </c:pt>
                <c:pt idx="13">
                  <c:v>102.70243567890459</c:v>
                </c:pt>
                <c:pt idx="14">
                  <c:v>98.320600223859202</c:v>
                </c:pt>
                <c:pt idx="15">
                  <c:v>95.582705042030042</c:v>
                </c:pt>
                <c:pt idx="16">
                  <c:v>94.145233314220349</c:v>
                </c:pt>
                <c:pt idx="17">
                  <c:v>96.335747987325931</c:v>
                </c:pt>
                <c:pt idx="18">
                  <c:v>97.147302159773631</c:v>
                </c:pt>
                <c:pt idx="19">
                  <c:v>99.08370263901233</c:v>
                </c:pt>
                <c:pt idx="20">
                  <c:v>101.24846466335084</c:v>
                </c:pt>
                <c:pt idx="21">
                  <c:v>104.72447774325325</c:v>
                </c:pt>
                <c:pt idx="22">
                  <c:v>109.07312664682382</c:v>
                </c:pt>
                <c:pt idx="23">
                  <c:v>112.18340209710558</c:v>
                </c:pt>
                <c:pt idx="24">
                  <c:v>117.27487268097266</c:v>
                </c:pt>
                <c:pt idx="25">
                  <c:v>120.42041485020304</c:v>
                </c:pt>
                <c:pt idx="26">
                  <c:v>123.16704499569387</c:v>
                </c:pt>
                <c:pt idx="27">
                  <c:v>126.09767866589051</c:v>
                </c:pt>
                <c:pt idx="28">
                  <c:v>132.35708440170617</c:v>
                </c:pt>
                <c:pt idx="29">
                  <c:v>129.41510362473963</c:v>
                </c:pt>
                <c:pt idx="30">
                  <c:v>128.67878701063972</c:v>
                </c:pt>
                <c:pt idx="31">
                  <c:v>132.18413227910301</c:v>
                </c:pt>
                <c:pt idx="32">
                  <c:v>133.45584600820843</c:v>
                </c:pt>
                <c:pt idx="33">
                  <c:v>137.62428960318883</c:v>
                </c:pt>
                <c:pt idx="34">
                  <c:v>139.78381514567528</c:v>
                </c:pt>
                <c:pt idx="35">
                  <c:v>138.1064387259606</c:v>
                </c:pt>
                <c:pt idx="36">
                  <c:v>140.0723413233741</c:v>
                </c:pt>
                <c:pt idx="37">
                  <c:v>145.89994778083232</c:v>
                </c:pt>
                <c:pt idx="38">
                  <c:v>164.98793112444227</c:v>
                </c:pt>
                <c:pt idx="39">
                  <c:v>163.66757979127186</c:v>
                </c:pt>
                <c:pt idx="40">
                  <c:v>163.27274547743031</c:v>
                </c:pt>
                <c:pt idx="41">
                  <c:v>159.81766882724418</c:v>
                </c:pt>
                <c:pt idx="42">
                  <c:v>145.21501258700764</c:v>
                </c:pt>
                <c:pt idx="43">
                  <c:v>142.12330811411249</c:v>
                </c:pt>
                <c:pt idx="44">
                  <c:v>140.53472112093209</c:v>
                </c:pt>
                <c:pt idx="45">
                  <c:v>139.84953590040246</c:v>
                </c:pt>
                <c:pt idx="46">
                  <c:v>139.18742258103259</c:v>
                </c:pt>
                <c:pt idx="47">
                  <c:v>136.14727837146057</c:v>
                </c:pt>
                <c:pt idx="48">
                  <c:v>134.60333971001211</c:v>
                </c:pt>
                <c:pt idx="49">
                  <c:v>133.98352387097901</c:v>
                </c:pt>
                <c:pt idx="50">
                  <c:v>131.09104995549143</c:v>
                </c:pt>
              </c:numCache>
            </c:numRef>
          </c:val>
          <c:smooth val="0"/>
          <c:extLst>
            <c:ext xmlns:c16="http://schemas.microsoft.com/office/drawing/2014/chart" uri="{C3380CC4-5D6E-409C-BE32-E72D297353CC}">
              <c16:uniqueId val="{00000000-703E-450F-8993-B0A1172D3637}"/>
            </c:ext>
          </c:extLst>
        </c:ser>
        <c:ser>
          <c:idx val="1"/>
          <c:order val="1"/>
          <c:tx>
            <c:strRef>
              <c:f>Sheet1!$C$1</c:f>
              <c:strCache>
                <c:ptCount val="1"/>
                <c:pt idx="0">
                  <c:v>Միս</c:v>
                </c:pt>
              </c:strCache>
            </c:strRef>
          </c:tx>
          <c:spPr>
            <a:ln w="12694" cap="rnd">
              <a:solidFill>
                <a:sysClr val="window" lastClr="FFFFFF">
                  <a:lumMod val="50000"/>
                </a:sysClr>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Sheet1!$C$2:$C$64</c:f>
              <c:numCache>
                <c:formatCode>0.0</c:formatCode>
                <c:ptCount val="51"/>
                <c:pt idx="0">
                  <c:v>96.482800061108378</c:v>
                </c:pt>
                <c:pt idx="1">
                  <c:v>97.34518890606725</c:v>
                </c:pt>
                <c:pt idx="2">
                  <c:v>98.896376780315407</c:v>
                </c:pt>
                <c:pt idx="3">
                  <c:v>102.21911588004376</c:v>
                </c:pt>
                <c:pt idx="4">
                  <c:v>105.12562312314974</c:v>
                </c:pt>
                <c:pt idx="5">
                  <c:v>105.85252167587117</c:v>
                </c:pt>
                <c:pt idx="6">
                  <c:v>107.11950298455625</c:v>
                </c:pt>
                <c:pt idx="7">
                  <c:v>106.94404128869</c:v>
                </c:pt>
                <c:pt idx="8">
                  <c:v>105.62899811669732</c:v>
                </c:pt>
                <c:pt idx="9">
                  <c:v>106.18796335006822</c:v>
                </c:pt>
                <c:pt idx="10">
                  <c:v>111.39016355242345</c:v>
                </c:pt>
                <c:pt idx="11">
                  <c:v>111.51739278674188</c:v>
                </c:pt>
                <c:pt idx="12">
                  <c:v>108.3410288187452</c:v>
                </c:pt>
                <c:pt idx="13">
                  <c:v>105.05011278427932</c:v>
                </c:pt>
                <c:pt idx="14">
                  <c:v>103.9646661262243</c:v>
                </c:pt>
                <c:pt idx="15">
                  <c:v>101.3310715885553</c:v>
                </c:pt>
                <c:pt idx="16">
                  <c:v>99.772470893144217</c:v>
                </c:pt>
                <c:pt idx="17">
                  <c:v>99.145595560315726</c:v>
                </c:pt>
                <c:pt idx="18">
                  <c:v>96.438009696440034</c:v>
                </c:pt>
                <c:pt idx="19">
                  <c:v>96.412878833503683</c:v>
                </c:pt>
                <c:pt idx="20">
                  <c:v>95.650610201562245</c:v>
                </c:pt>
                <c:pt idx="21">
                  <c:v>95.974147385837426</c:v>
                </c:pt>
                <c:pt idx="22">
                  <c:v>97.578895940646177</c:v>
                </c:pt>
                <c:pt idx="23">
                  <c:v>99.175612047697101</c:v>
                </c:pt>
                <c:pt idx="24">
                  <c:v>100.34228622781526</c:v>
                </c:pt>
                <c:pt idx="25">
                  <c:v>102.23214868897405</c:v>
                </c:pt>
                <c:pt idx="26">
                  <c:v>105.36342571410643</c:v>
                </c:pt>
                <c:pt idx="27">
                  <c:v>109.10955986407212</c:v>
                </c:pt>
                <c:pt idx="28">
                  <c:v>112.28743013798474</c:v>
                </c:pt>
                <c:pt idx="29">
                  <c:v>115.74036624803558</c:v>
                </c:pt>
                <c:pt idx="30">
                  <c:v>119.32355256711016</c:v>
                </c:pt>
                <c:pt idx="31">
                  <c:v>118.61208770521912</c:v>
                </c:pt>
                <c:pt idx="32">
                  <c:v>117.82681202376016</c:v>
                </c:pt>
                <c:pt idx="33">
                  <c:v>117.0816149760449</c:v>
                </c:pt>
                <c:pt idx="34">
                  <c:v>117.64667831050505</c:v>
                </c:pt>
                <c:pt idx="35">
                  <c:v>116.09932712472376</c:v>
                </c:pt>
                <c:pt idx="36">
                  <c:v>117.26792074686772</c:v>
                </c:pt>
                <c:pt idx="37">
                  <c:v>119.07273967424467</c:v>
                </c:pt>
                <c:pt idx="38">
                  <c:v>124.77023864154961</c:v>
                </c:pt>
                <c:pt idx="39">
                  <c:v>127.46778661908058</c:v>
                </c:pt>
                <c:pt idx="40">
                  <c:v>128.48350714768029</c:v>
                </c:pt>
                <c:pt idx="41">
                  <c:v>131.67239699921254</c:v>
                </c:pt>
                <c:pt idx="42">
                  <c:v>129.71755369531397</c:v>
                </c:pt>
                <c:pt idx="43">
                  <c:v>126.6230055494334</c:v>
                </c:pt>
                <c:pt idx="44">
                  <c:v>125.76756836564734</c:v>
                </c:pt>
                <c:pt idx="45">
                  <c:v>122.15996009840576</c:v>
                </c:pt>
                <c:pt idx="46">
                  <c:v>119.85989524539241</c:v>
                </c:pt>
                <c:pt idx="47">
                  <c:v>117.5362009060287</c:v>
                </c:pt>
                <c:pt idx="48">
                  <c:v>116.17267120426264</c:v>
                </c:pt>
                <c:pt idx="49">
                  <c:v>117.21832981096168</c:v>
                </c:pt>
                <c:pt idx="50">
                  <c:v>118.1594225569908</c:v>
                </c:pt>
              </c:numCache>
            </c:numRef>
          </c:val>
          <c:smooth val="0"/>
          <c:extLst>
            <c:ext xmlns:c16="http://schemas.microsoft.com/office/drawing/2014/chart" uri="{C3380CC4-5D6E-409C-BE32-E72D297353CC}">
              <c16:uniqueId val="{00000001-703E-450F-8993-B0A1172D3637}"/>
            </c:ext>
          </c:extLst>
        </c:ser>
        <c:ser>
          <c:idx val="2"/>
          <c:order val="2"/>
          <c:tx>
            <c:strRef>
              <c:f>Sheet1!$D$1</c:f>
              <c:strCache>
                <c:ptCount val="1"/>
                <c:pt idx="0">
                  <c:v>Կաթնամթերք</c:v>
                </c:pt>
              </c:strCache>
            </c:strRef>
          </c:tx>
          <c:spPr>
            <a:ln w="12694" cap="rnd">
              <a:solidFill>
                <a:srgbClr val="F79646"/>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Sheet1!$D$2:$D$64</c:f>
              <c:numCache>
                <c:formatCode>0.0</c:formatCode>
                <c:ptCount val="51"/>
                <c:pt idx="0">
                  <c:v>95.234666342250819</c:v>
                </c:pt>
                <c:pt idx="1">
                  <c:v>97.892553254908108</c:v>
                </c:pt>
                <c:pt idx="2">
                  <c:v>99.669230192165429</c:v>
                </c:pt>
                <c:pt idx="3">
                  <c:v>100.12251368615557</c:v>
                </c:pt>
                <c:pt idx="4">
                  <c:v>100.56104474136352</c:v>
                </c:pt>
                <c:pt idx="5">
                  <c:v>97.068760439611637</c:v>
                </c:pt>
                <c:pt idx="6">
                  <c:v>95.345264913198974</c:v>
                </c:pt>
                <c:pt idx="7">
                  <c:v>94.623970162329499</c:v>
                </c:pt>
                <c:pt idx="8">
                  <c:v>93.999878823407755</c:v>
                </c:pt>
                <c:pt idx="9">
                  <c:v>95.115083532456282</c:v>
                </c:pt>
                <c:pt idx="10">
                  <c:v>96.655923069600419</c:v>
                </c:pt>
                <c:pt idx="11">
                  <c:v>97.683740967665841</c:v>
                </c:pt>
                <c:pt idx="12">
                  <c:v>97.968502123973636</c:v>
                </c:pt>
                <c:pt idx="13">
                  <c:v>97.031476637706248</c:v>
                </c:pt>
                <c:pt idx="14">
                  <c:v>95.779566673426359</c:v>
                </c:pt>
                <c:pt idx="15">
                  <c:v>90.335234940409975</c:v>
                </c:pt>
                <c:pt idx="16">
                  <c:v>89.082196033895613</c:v>
                </c:pt>
                <c:pt idx="17">
                  <c:v>92.768220124726767</c:v>
                </c:pt>
                <c:pt idx="18">
                  <c:v>96.027496302624641</c:v>
                </c:pt>
                <c:pt idx="19">
                  <c:v>96.32286147434337</c:v>
                </c:pt>
                <c:pt idx="20">
                  <c:v>96.528331403898946</c:v>
                </c:pt>
                <c:pt idx="21">
                  <c:v>98.567701931712904</c:v>
                </c:pt>
                <c:pt idx="22">
                  <c:v>99.418614448154258</c:v>
                </c:pt>
                <c:pt idx="23">
                  <c:v>103.00716669887936</c:v>
                </c:pt>
                <c:pt idx="24">
                  <c:v>104.95157598228811</c:v>
                </c:pt>
                <c:pt idx="25">
                  <c:v>106.67565636271507</c:v>
                </c:pt>
                <c:pt idx="26">
                  <c:v>110.81307545649517</c:v>
                </c:pt>
                <c:pt idx="27">
                  <c:v>112.36522878127913</c:v>
                </c:pt>
                <c:pt idx="28">
                  <c:v>114.2768579156248</c:v>
                </c:pt>
                <c:pt idx="29">
                  <c:v>113.12796134226409</c:v>
                </c:pt>
                <c:pt idx="30">
                  <c:v>110.12417320104328</c:v>
                </c:pt>
                <c:pt idx="31">
                  <c:v>109.58807972034614</c:v>
                </c:pt>
                <c:pt idx="32">
                  <c:v>111.44637724303399</c:v>
                </c:pt>
                <c:pt idx="33">
                  <c:v>114.58663893600664</c:v>
                </c:pt>
                <c:pt idx="34">
                  <c:v>118.85650470206789</c:v>
                </c:pt>
                <c:pt idx="35">
                  <c:v>121.66527822763179</c:v>
                </c:pt>
                <c:pt idx="36">
                  <c:v>125.12729527713803</c:v>
                </c:pt>
                <c:pt idx="37">
                  <c:v>133.52080638488709</c:v>
                </c:pt>
                <c:pt idx="38">
                  <c:v>137.57900238677379</c:v>
                </c:pt>
                <c:pt idx="39">
                  <c:v>138.38853581790428</c:v>
                </c:pt>
                <c:pt idx="40">
                  <c:v>136.01935163844138</c:v>
                </c:pt>
                <c:pt idx="41">
                  <c:v>141.68343048607019</c:v>
                </c:pt>
                <c:pt idx="42">
                  <c:v>138.17734917260975</c:v>
                </c:pt>
                <c:pt idx="43">
                  <c:v>135.23973463416181</c:v>
                </c:pt>
                <c:pt idx="44">
                  <c:v>134.61889301689689</c:v>
                </c:pt>
                <c:pt idx="45">
                  <c:v>131.37288094238855</c:v>
                </c:pt>
                <c:pt idx="46">
                  <c:v>129.61098703322918</c:v>
                </c:pt>
                <c:pt idx="47">
                  <c:v>130.3511427927732</c:v>
                </c:pt>
                <c:pt idx="48">
                  <c:v>127.36072060805765</c:v>
                </c:pt>
                <c:pt idx="49">
                  <c:v>123.87009345065162</c:v>
                </c:pt>
                <c:pt idx="50">
                  <c:v>122.92668070540675</c:v>
                </c:pt>
              </c:numCache>
            </c:numRef>
          </c:val>
          <c:smooth val="0"/>
          <c:extLst>
            <c:ext xmlns:c16="http://schemas.microsoft.com/office/drawing/2014/chart" uri="{C3380CC4-5D6E-409C-BE32-E72D297353CC}">
              <c16:uniqueId val="{00000002-703E-450F-8993-B0A1172D3637}"/>
            </c:ext>
          </c:extLst>
        </c:ser>
        <c:ser>
          <c:idx val="3"/>
          <c:order val="3"/>
          <c:tx>
            <c:strRef>
              <c:f>Sheet1!$E$1</c:f>
              <c:strCache>
                <c:ptCount val="1"/>
                <c:pt idx="0">
                  <c:v>Հացահատիկ</c:v>
                </c:pt>
              </c:strCache>
            </c:strRef>
          </c:tx>
          <c:spPr>
            <a:ln w="12694" cap="rnd">
              <a:solidFill>
                <a:schemeClr val="accent4"/>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Sheet1!$E$2:$E$64</c:f>
              <c:numCache>
                <c:formatCode>0.0</c:formatCode>
                <c:ptCount val="51"/>
                <c:pt idx="0">
                  <c:v>106.89900091138773</c:v>
                </c:pt>
                <c:pt idx="1">
                  <c:v>105.81439840846039</c:v>
                </c:pt>
                <c:pt idx="2">
                  <c:v>102.427015986716</c:v>
                </c:pt>
                <c:pt idx="3">
                  <c:v>99.403182028877282</c:v>
                </c:pt>
                <c:pt idx="4">
                  <c:v>99.20339160873985</c:v>
                </c:pt>
                <c:pt idx="5">
                  <c:v>104.18966748775597</c:v>
                </c:pt>
                <c:pt idx="6">
                  <c:v>102.46781654120984</c:v>
                </c:pt>
                <c:pt idx="7">
                  <c:v>97.293842720224475</c:v>
                </c:pt>
                <c:pt idx="8">
                  <c:v>96.465756343847559</c:v>
                </c:pt>
                <c:pt idx="9">
                  <c:v>100.81496433429905</c:v>
                </c:pt>
                <c:pt idx="10">
                  <c:v>100.38562630584022</c:v>
                </c:pt>
                <c:pt idx="11">
                  <c:v>102.30569893660753</c:v>
                </c:pt>
                <c:pt idx="12">
                  <c:v>105.76197165219698</c:v>
                </c:pt>
                <c:pt idx="13">
                  <c:v>104.59487716193941</c:v>
                </c:pt>
                <c:pt idx="14">
                  <c:v>102.96413183691027</c:v>
                </c:pt>
                <c:pt idx="15">
                  <c:v>104.66936129833653</c:v>
                </c:pt>
                <c:pt idx="16">
                  <c:v>102.95898366430544</c:v>
                </c:pt>
                <c:pt idx="17">
                  <c:v>102.21385765098483</c:v>
                </c:pt>
                <c:pt idx="18">
                  <c:v>102.17601306030498</c:v>
                </c:pt>
                <c:pt idx="19">
                  <c:v>104.21807396014346</c:v>
                </c:pt>
                <c:pt idx="20">
                  <c:v>109.58526085384153</c:v>
                </c:pt>
                <c:pt idx="21">
                  <c:v>117.73740130087613</c:v>
                </c:pt>
                <c:pt idx="22">
                  <c:v>120.63142660164503</c:v>
                </c:pt>
                <c:pt idx="23">
                  <c:v>122.25222978266329</c:v>
                </c:pt>
                <c:pt idx="24">
                  <c:v>131.30966462381684</c:v>
                </c:pt>
                <c:pt idx="25">
                  <c:v>132.5047892352089</c:v>
                </c:pt>
                <c:pt idx="26">
                  <c:v>130.15316265743155</c:v>
                </c:pt>
                <c:pt idx="27">
                  <c:v>132.56106781562627</c:v>
                </c:pt>
                <c:pt idx="28">
                  <c:v>140.43340163386253</c:v>
                </c:pt>
                <c:pt idx="29">
                  <c:v>136.88225919307081</c:v>
                </c:pt>
                <c:pt idx="30">
                  <c:v>132.62023777255453</c:v>
                </c:pt>
                <c:pt idx="31">
                  <c:v>136.9595995567461</c:v>
                </c:pt>
                <c:pt idx="32">
                  <c:v>139.53172164496095</c:v>
                </c:pt>
                <c:pt idx="33">
                  <c:v>144.05453673128463</c:v>
                </c:pt>
                <c:pt idx="34">
                  <c:v>148.57331819934996</c:v>
                </c:pt>
                <c:pt idx="35">
                  <c:v>147.57568292109335</c:v>
                </c:pt>
                <c:pt idx="36">
                  <c:v>147.73602438585399</c:v>
                </c:pt>
                <c:pt idx="37">
                  <c:v>152.59637197514576</c:v>
                </c:pt>
                <c:pt idx="38">
                  <c:v>178.70559600686656</c:v>
                </c:pt>
                <c:pt idx="39">
                  <c:v>178.22810639990024</c:v>
                </c:pt>
                <c:pt idx="40">
                  <c:v>182.26589228606616</c:v>
                </c:pt>
                <c:pt idx="41">
                  <c:v>174.71962913958251</c:v>
                </c:pt>
                <c:pt idx="42">
                  <c:v>154.67813256479602</c:v>
                </c:pt>
                <c:pt idx="43">
                  <c:v>152.91228997450224</c:v>
                </c:pt>
                <c:pt idx="44">
                  <c:v>155.36974624692712</c:v>
                </c:pt>
                <c:pt idx="45">
                  <c:v>159.95641308835195</c:v>
                </c:pt>
                <c:pt idx="46">
                  <c:v>157.67383581132651</c:v>
                </c:pt>
                <c:pt idx="47">
                  <c:v>154.67535158938165</c:v>
                </c:pt>
                <c:pt idx="48">
                  <c:v>154.93374301734039</c:v>
                </c:pt>
                <c:pt idx="49">
                  <c:v>154.09342441114464</c:v>
                </c:pt>
                <c:pt idx="50">
                  <c:v>145.58519852341271</c:v>
                </c:pt>
              </c:numCache>
            </c:numRef>
          </c:val>
          <c:smooth val="0"/>
          <c:extLst>
            <c:ext xmlns:c16="http://schemas.microsoft.com/office/drawing/2014/chart" uri="{C3380CC4-5D6E-409C-BE32-E72D297353CC}">
              <c16:uniqueId val="{00000003-703E-450F-8993-B0A1172D3637}"/>
            </c:ext>
          </c:extLst>
        </c:ser>
        <c:ser>
          <c:idx val="4"/>
          <c:order val="4"/>
          <c:tx>
            <c:strRef>
              <c:f>Sheet1!$F$1</c:f>
              <c:strCache>
                <c:ptCount val="1"/>
                <c:pt idx="0">
                  <c:v>Բուսական յուղեր</c:v>
                </c:pt>
              </c:strCache>
            </c:strRef>
          </c:tx>
          <c:spPr>
            <a:ln w="12694" cap="rnd">
              <a:solidFill>
                <a:schemeClr val="accent5"/>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Sheet1!$F$2:$F$64</c:f>
              <c:numCache>
                <c:formatCode>0.0</c:formatCode>
                <c:ptCount val="51"/>
                <c:pt idx="0">
                  <c:v>81.686269695379337</c:v>
                </c:pt>
                <c:pt idx="1">
                  <c:v>83.23960568098471</c:v>
                </c:pt>
                <c:pt idx="2">
                  <c:v>79.809512650428417</c:v>
                </c:pt>
                <c:pt idx="3">
                  <c:v>80.519990182746128</c:v>
                </c:pt>
                <c:pt idx="4">
                  <c:v>79.898500595084016</c:v>
                </c:pt>
                <c:pt idx="5">
                  <c:v>78.84040075823097</c:v>
                </c:pt>
                <c:pt idx="6">
                  <c:v>79.480040511344598</c:v>
                </c:pt>
                <c:pt idx="7">
                  <c:v>84.059177820443409</c:v>
                </c:pt>
                <c:pt idx="8">
                  <c:v>85.381193186554526</c:v>
                </c:pt>
                <c:pt idx="9">
                  <c:v>85.606035834823444</c:v>
                </c:pt>
                <c:pt idx="10">
                  <c:v>94.821691772075297</c:v>
                </c:pt>
                <c:pt idx="11">
                  <c:v>103.30494552412929</c:v>
                </c:pt>
                <c:pt idx="12">
                  <c:v>110.66754532279032</c:v>
                </c:pt>
                <c:pt idx="13">
                  <c:v>99.289417522043777</c:v>
                </c:pt>
                <c:pt idx="14">
                  <c:v>86.945069093416777</c:v>
                </c:pt>
                <c:pt idx="15">
                  <c:v>82.622209906497915</c:v>
                </c:pt>
                <c:pt idx="16">
                  <c:v>79.152852193236484</c:v>
                </c:pt>
                <c:pt idx="17">
                  <c:v>88.155042555114477</c:v>
                </c:pt>
                <c:pt idx="18">
                  <c:v>94.859022077521715</c:v>
                </c:pt>
                <c:pt idx="19">
                  <c:v>100.45833978040403</c:v>
                </c:pt>
                <c:pt idx="20">
                  <c:v>106.45775437937969</c:v>
                </c:pt>
                <c:pt idx="21">
                  <c:v>108.34465129741521</c:v>
                </c:pt>
                <c:pt idx="22">
                  <c:v>124.07286063102953</c:v>
                </c:pt>
                <c:pt idx="23">
                  <c:v>133.53419220442143</c:v>
                </c:pt>
                <c:pt idx="24">
                  <c:v>141.34596860402925</c:v>
                </c:pt>
                <c:pt idx="25">
                  <c:v>150.08674405606564</c:v>
                </c:pt>
                <c:pt idx="26">
                  <c:v>162.13697117418354</c:v>
                </c:pt>
                <c:pt idx="27">
                  <c:v>165.07770989878563</c:v>
                </c:pt>
                <c:pt idx="28">
                  <c:v>177.98803636264199</c:v>
                </c:pt>
                <c:pt idx="29">
                  <c:v>160.48663200677314</c:v>
                </c:pt>
                <c:pt idx="30">
                  <c:v>158.26274716934014</c:v>
                </c:pt>
                <c:pt idx="31">
                  <c:v>168.81400519476657</c:v>
                </c:pt>
                <c:pt idx="32">
                  <c:v>171.57077403615963</c:v>
                </c:pt>
                <c:pt idx="33">
                  <c:v>188.12686424703929</c:v>
                </c:pt>
                <c:pt idx="34">
                  <c:v>187.8395479178308</c:v>
                </c:pt>
                <c:pt idx="35">
                  <c:v>181.68214917475632</c:v>
                </c:pt>
                <c:pt idx="36">
                  <c:v>189.24030323233669</c:v>
                </c:pt>
                <c:pt idx="37">
                  <c:v>205.30747073636542</c:v>
                </c:pt>
                <c:pt idx="38">
                  <c:v>256.31289537282186</c:v>
                </c:pt>
                <c:pt idx="39">
                  <c:v>241.75888335645195</c:v>
                </c:pt>
                <c:pt idx="40">
                  <c:v>233.32050792416976</c:v>
                </c:pt>
                <c:pt idx="41">
                  <c:v>215.56431843906051</c:v>
                </c:pt>
                <c:pt idx="42">
                  <c:v>171.82477572710866</c:v>
                </c:pt>
                <c:pt idx="43">
                  <c:v>166.23007018634519</c:v>
                </c:pt>
                <c:pt idx="44">
                  <c:v>155.28799083451403</c:v>
                </c:pt>
                <c:pt idx="45">
                  <c:v>153.97726118913516</c:v>
                </c:pt>
                <c:pt idx="46">
                  <c:v>157.46030557417203</c:v>
                </c:pt>
                <c:pt idx="47">
                  <c:v>147.17362542157483</c:v>
                </c:pt>
                <c:pt idx="48">
                  <c:v>142.89857756295322</c:v>
                </c:pt>
                <c:pt idx="49">
                  <c:v>138.31849494875601</c:v>
                </c:pt>
                <c:pt idx="50">
                  <c:v>134.14553078915412</c:v>
                </c:pt>
              </c:numCache>
            </c:numRef>
          </c:val>
          <c:smooth val="0"/>
          <c:extLst>
            <c:ext xmlns:c16="http://schemas.microsoft.com/office/drawing/2014/chart" uri="{C3380CC4-5D6E-409C-BE32-E72D297353CC}">
              <c16:uniqueId val="{00000004-703E-450F-8993-B0A1172D3637}"/>
            </c:ext>
          </c:extLst>
        </c:ser>
        <c:ser>
          <c:idx val="5"/>
          <c:order val="5"/>
          <c:tx>
            <c:strRef>
              <c:f>Sheet1!$G$1</c:f>
              <c:strCache>
                <c:ptCount val="1"/>
                <c:pt idx="0">
                  <c:v>Շաքարավազ</c:v>
                </c:pt>
              </c:strCache>
            </c:strRef>
          </c:tx>
          <c:spPr>
            <a:ln w="12694" cap="rnd">
              <a:solidFill>
                <a:srgbClr val="4F81BD"/>
              </a:solidFill>
              <a:round/>
            </a:ln>
            <a:effectLst/>
          </c:spPr>
          <c:marker>
            <c:symbol val="none"/>
          </c:marker>
          <c:cat>
            <c:strRef>
              <c:f>Sheet1!$A$2:$A$64</c:f>
              <c:strCache>
                <c:ptCount val="51"/>
                <c:pt idx="0">
                  <c:v>2019 - 1</c:v>
                </c:pt>
                <c:pt idx="1">
                  <c:v>2019 - 2</c:v>
                </c:pt>
                <c:pt idx="2">
                  <c:v>2019 - 3</c:v>
                </c:pt>
                <c:pt idx="3">
                  <c:v>2019 - 4</c:v>
                </c:pt>
                <c:pt idx="4">
                  <c:v>2019 - 5</c:v>
                </c:pt>
                <c:pt idx="5">
                  <c:v>2019 - 6</c:v>
                </c:pt>
                <c:pt idx="6">
                  <c:v>2019 - 7</c:v>
                </c:pt>
                <c:pt idx="7">
                  <c:v>2019 - 8</c:v>
                </c:pt>
                <c:pt idx="8">
                  <c:v>2019 - 9</c:v>
                </c:pt>
                <c:pt idx="9">
                  <c:v>2019 - 10</c:v>
                </c:pt>
                <c:pt idx="10">
                  <c:v>2019 - 11</c:v>
                </c:pt>
                <c:pt idx="11">
                  <c:v>2019 - 12</c:v>
                </c:pt>
                <c:pt idx="12">
                  <c:v>2020 - 1</c:v>
                </c:pt>
                <c:pt idx="13">
                  <c:v>2020 - 2</c:v>
                </c:pt>
                <c:pt idx="14">
                  <c:v>2020 - 3</c:v>
                </c:pt>
                <c:pt idx="15">
                  <c:v>2020 - 4</c:v>
                </c:pt>
                <c:pt idx="16">
                  <c:v>2020 - 5</c:v>
                </c:pt>
                <c:pt idx="17">
                  <c:v>2020 - 6</c:v>
                </c:pt>
                <c:pt idx="18">
                  <c:v>2020 - 7</c:v>
                </c:pt>
                <c:pt idx="19">
                  <c:v>2020 - 8</c:v>
                </c:pt>
                <c:pt idx="20">
                  <c:v>2020 - 9</c:v>
                </c:pt>
                <c:pt idx="21">
                  <c:v>2020 - 10</c:v>
                </c:pt>
                <c:pt idx="22">
                  <c:v>2020 - 11</c:v>
                </c:pt>
                <c:pt idx="23">
                  <c:v>2020 - 12</c:v>
                </c:pt>
                <c:pt idx="24">
                  <c:v>2021 - 1</c:v>
                </c:pt>
                <c:pt idx="25">
                  <c:v>2021 - 2</c:v>
                </c:pt>
                <c:pt idx="26">
                  <c:v>2021 - 3</c:v>
                </c:pt>
                <c:pt idx="27">
                  <c:v>2021 - 4</c:v>
                </c:pt>
                <c:pt idx="28">
                  <c:v>2021 - 5</c:v>
                </c:pt>
                <c:pt idx="29">
                  <c:v>2021 - 6</c:v>
                </c:pt>
                <c:pt idx="30">
                  <c:v>2021 - 7</c:v>
                </c:pt>
                <c:pt idx="31">
                  <c:v>2021 - 8</c:v>
                </c:pt>
                <c:pt idx="32">
                  <c:v>2021 - 9</c:v>
                </c:pt>
                <c:pt idx="33">
                  <c:v>2021 - 10</c:v>
                </c:pt>
                <c:pt idx="34">
                  <c:v>2021 - 11</c:v>
                </c:pt>
                <c:pt idx="35">
                  <c:v>2021 - 12</c:v>
                </c:pt>
                <c:pt idx="36">
                  <c:v>2022 - 1</c:v>
                </c:pt>
                <c:pt idx="37">
                  <c:v>2022 - 2</c:v>
                </c:pt>
                <c:pt idx="38">
                  <c:v>2022 - 3</c:v>
                </c:pt>
                <c:pt idx="39">
                  <c:v>2022 - 4</c:v>
                </c:pt>
                <c:pt idx="40">
                  <c:v>2022 - 5</c:v>
                </c:pt>
                <c:pt idx="41">
                  <c:v>2022 - 6</c:v>
                </c:pt>
                <c:pt idx="42">
                  <c:v>2022 - 7</c:v>
                </c:pt>
                <c:pt idx="43">
                  <c:v>2022 - 8</c:v>
                </c:pt>
                <c:pt idx="44">
                  <c:v>2022 - 9</c:v>
                </c:pt>
                <c:pt idx="45">
                  <c:v>2022 - 10</c:v>
                </c:pt>
                <c:pt idx="46">
                  <c:v>2022 - 11</c:v>
                </c:pt>
                <c:pt idx="47">
                  <c:v>2022 - 12</c:v>
                </c:pt>
                <c:pt idx="48">
                  <c:v>2023 - 1</c:v>
                </c:pt>
                <c:pt idx="49">
                  <c:v>2023 - 2</c:v>
                </c:pt>
                <c:pt idx="50">
                  <c:v>2023 - 3</c:v>
                </c:pt>
              </c:strCache>
            </c:strRef>
          </c:cat>
          <c:val>
            <c:numRef>
              <c:f>Sheet1!$G$2:$G$64</c:f>
              <c:numCache>
                <c:formatCode>0.0</c:formatCode>
                <c:ptCount val="51"/>
                <c:pt idx="0">
                  <c:v>90.992967288212142</c:v>
                </c:pt>
                <c:pt idx="1">
                  <c:v>92.100780695528726</c:v>
                </c:pt>
                <c:pt idx="2">
                  <c:v>90.21257899895231</c:v>
                </c:pt>
                <c:pt idx="3">
                  <c:v>90.892960836182993</c:v>
                </c:pt>
                <c:pt idx="4">
                  <c:v>88.002451771081979</c:v>
                </c:pt>
                <c:pt idx="5">
                  <c:v>91.68204400283885</c:v>
                </c:pt>
                <c:pt idx="6">
                  <c:v>91.091430863702257</c:v>
                </c:pt>
                <c:pt idx="7">
                  <c:v>87.421769146396514</c:v>
                </c:pt>
                <c:pt idx="8">
                  <c:v>84.30497820135858</c:v>
                </c:pt>
                <c:pt idx="9">
                  <c:v>89.190606967630416</c:v>
                </c:pt>
                <c:pt idx="10">
                  <c:v>90.817533542870606</c:v>
                </c:pt>
                <c:pt idx="11">
                  <c:v>95.184021088918129</c:v>
                </c:pt>
                <c:pt idx="12">
                  <c:v>100.39357377895342</c:v>
                </c:pt>
                <c:pt idx="13">
                  <c:v>104.8757984386089</c:v>
                </c:pt>
                <c:pt idx="14">
                  <c:v>84.801277501774265</c:v>
                </c:pt>
                <c:pt idx="15">
                  <c:v>72.455980262935526</c:v>
                </c:pt>
                <c:pt idx="16">
                  <c:v>77.806955287437859</c:v>
                </c:pt>
                <c:pt idx="17">
                  <c:v>85.943931866572001</c:v>
                </c:pt>
                <c:pt idx="18">
                  <c:v>87.172524454593102</c:v>
                </c:pt>
                <c:pt idx="19">
                  <c:v>93.000777315894368</c:v>
                </c:pt>
                <c:pt idx="20">
                  <c:v>90.554229305116394</c:v>
                </c:pt>
                <c:pt idx="21">
                  <c:v>97.148203109878011</c:v>
                </c:pt>
                <c:pt idx="22">
                  <c:v>100.37970191625261</c:v>
                </c:pt>
                <c:pt idx="23">
                  <c:v>99.935479708368248</c:v>
                </c:pt>
                <c:pt idx="24">
                  <c:v>107.98438608942507</c:v>
                </c:pt>
                <c:pt idx="25">
                  <c:v>114.88289567068838</c:v>
                </c:pt>
                <c:pt idx="26">
                  <c:v>110.3218440460394</c:v>
                </c:pt>
                <c:pt idx="27">
                  <c:v>114.66761296427721</c:v>
                </c:pt>
                <c:pt idx="28">
                  <c:v>122.48048261178134</c:v>
                </c:pt>
                <c:pt idx="29">
                  <c:v>123.54990644557705</c:v>
                </c:pt>
                <c:pt idx="30">
                  <c:v>125.63713787986316</c:v>
                </c:pt>
                <c:pt idx="31">
                  <c:v>138.24117685011925</c:v>
                </c:pt>
                <c:pt idx="32">
                  <c:v>138.98316020388404</c:v>
                </c:pt>
                <c:pt idx="33">
                  <c:v>136.54736557504472</c:v>
                </c:pt>
                <c:pt idx="34">
                  <c:v>137.83147299825785</c:v>
                </c:pt>
                <c:pt idx="35">
                  <c:v>133.5279695464223</c:v>
                </c:pt>
                <c:pt idx="36">
                  <c:v>129.21017945858253</c:v>
                </c:pt>
                <c:pt idx="37">
                  <c:v>126.7601135557132</c:v>
                </c:pt>
                <c:pt idx="38">
                  <c:v>135.22695713888967</c:v>
                </c:pt>
                <c:pt idx="39">
                  <c:v>139.38963804116389</c:v>
                </c:pt>
                <c:pt idx="40">
                  <c:v>138.06374604813212</c:v>
                </c:pt>
                <c:pt idx="41">
                  <c:v>134.50545196464284</c:v>
                </c:pt>
                <c:pt idx="42">
                  <c:v>129.40957788367297</c:v>
                </c:pt>
                <c:pt idx="43">
                  <c:v>126.69484987811271</c:v>
                </c:pt>
                <c:pt idx="44">
                  <c:v>125.77908252145298</c:v>
                </c:pt>
                <c:pt idx="45">
                  <c:v>124.52262665179626</c:v>
                </c:pt>
                <c:pt idx="46">
                  <c:v>131.18910897477255</c:v>
                </c:pt>
                <c:pt idx="47">
                  <c:v>134.38101997363884</c:v>
                </c:pt>
                <c:pt idx="48">
                  <c:v>133.94942603199931</c:v>
                </c:pt>
                <c:pt idx="49">
                  <c:v>143.58277516443763</c:v>
                </c:pt>
                <c:pt idx="50">
                  <c:v>145.64706426424584</c:v>
                </c:pt>
              </c:numCache>
            </c:numRef>
          </c:val>
          <c:smooth val="0"/>
          <c:extLst>
            <c:ext xmlns:c16="http://schemas.microsoft.com/office/drawing/2014/chart" uri="{C3380CC4-5D6E-409C-BE32-E72D297353CC}">
              <c16:uniqueId val="{00000005-703E-450F-8993-B0A1172D3637}"/>
            </c:ext>
          </c:extLst>
        </c:ser>
        <c:dLbls>
          <c:showLegendKey val="0"/>
          <c:showVal val="0"/>
          <c:showCatName val="0"/>
          <c:showSerName val="0"/>
          <c:showPercent val="0"/>
          <c:showBubbleSize val="0"/>
        </c:dLbls>
        <c:smooth val="0"/>
        <c:axId val="281874816"/>
        <c:axId val="281876352"/>
      </c:lineChart>
      <c:catAx>
        <c:axId val="281874816"/>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1876352"/>
        <c:crosses val="autoZero"/>
        <c:auto val="1"/>
        <c:lblAlgn val="ctr"/>
        <c:lblOffset val="100"/>
        <c:noMultiLvlLbl val="1"/>
      </c:catAx>
      <c:valAx>
        <c:axId val="281876352"/>
        <c:scaling>
          <c:orientation val="minMax"/>
          <c:max val="300"/>
          <c:min val="50"/>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333333"/>
                    </a:solidFill>
                    <a:latin typeface="GHEA Grapalat"/>
                  </a:rPr>
                  <a:t>Ինդեքս, 2018 հունվար =100</a:t>
                </a:r>
              </a:p>
            </c:rich>
          </c:tx>
          <c:layout/>
          <c:overlay val="0"/>
          <c:spPr>
            <a:noFill/>
            <a:ln w="25389">
              <a:noFill/>
            </a:ln>
          </c:spPr>
        </c:title>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1874816"/>
        <c:crosses val="autoZero"/>
        <c:crossBetween val="between"/>
      </c:valAx>
      <c:spPr>
        <a:noFill/>
        <a:ln w="25389">
          <a:noFill/>
        </a:ln>
      </c:spPr>
    </c:plotArea>
    <c:legend>
      <c:legendPos val="t"/>
      <c:layout>
        <c:manualLayout>
          <c:xMode val="edge"/>
          <c:yMode val="edge"/>
          <c:x val="0"/>
          <c:y val="0.8443943427934818"/>
          <c:w val="0.95546841815071404"/>
          <c:h val="0.14338714854887744"/>
        </c:manualLayout>
      </c:layout>
      <c:overlay val="0"/>
      <c:spPr>
        <a:noFill/>
        <a:ln w="2538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ysClr val="window" lastClr="FFFFFF">
          <a:lumMod val="85000"/>
        </a:sys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1.4000000000000057</c:v>
                </c:pt>
                <c:pt idx="1">
                  <c:v>1</c:v>
                </c:pt>
                <c:pt idx="2">
                  <c:v>3.5999999999999943</c:v>
                </c:pt>
              </c:numCache>
            </c:numRef>
          </c:val>
          <c:extLst>
            <c:ext xmlns:c16="http://schemas.microsoft.com/office/drawing/2014/chart" uri="{C3380CC4-5D6E-409C-BE32-E72D297353CC}">
              <c16:uniqueId val="{00000000-6AB9-46AF-93F3-95114E2AB05E}"/>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1.4000000000000057</c:v>
                </c:pt>
              </c:numCache>
            </c:numRef>
          </c:val>
          <c:extLst>
            <c:ext xmlns:c16="http://schemas.microsoft.com/office/drawing/2014/chart" uri="{C3380CC4-5D6E-409C-BE32-E72D297353CC}">
              <c16:uniqueId val="{00000001-6AB9-46AF-93F3-95114E2AB05E}"/>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12.200000000000003</c:v>
                </c:pt>
                <c:pt idx="1">
                  <c:v>13.200000000000003</c:v>
                </c:pt>
                <c:pt idx="2">
                  <c:v>15.599999999999994</c:v>
                </c:pt>
              </c:numCache>
            </c:numRef>
          </c:val>
          <c:extLst>
            <c:ext xmlns:c16="http://schemas.microsoft.com/office/drawing/2014/chart" uri="{C3380CC4-5D6E-409C-BE32-E72D297353CC}">
              <c16:uniqueId val="{00000002-6AB9-46AF-93F3-95114E2AB05E}"/>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25.900000000000006</c:v>
                </c:pt>
                <c:pt idx="1">
                  <c:v>23.5</c:v>
                </c:pt>
                <c:pt idx="2">
                  <c:v>22.900000000000006</c:v>
                </c:pt>
              </c:numCache>
            </c:numRef>
          </c:val>
          <c:extLst>
            <c:ext xmlns:c16="http://schemas.microsoft.com/office/drawing/2014/chart" uri="{C3380CC4-5D6E-409C-BE32-E72D297353CC}">
              <c16:uniqueId val="{00000003-6AB9-46AF-93F3-95114E2AB05E}"/>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17.700000000000003</c:v>
                </c:pt>
                <c:pt idx="1">
                  <c:v>18</c:v>
                </c:pt>
                <c:pt idx="2">
                  <c:v>21</c:v>
                </c:pt>
              </c:numCache>
            </c:numRef>
          </c:val>
          <c:extLst>
            <c:ext xmlns:c16="http://schemas.microsoft.com/office/drawing/2014/chart" uri="{C3380CC4-5D6E-409C-BE32-E72D297353CC}">
              <c16:uniqueId val="{00000004-6AB9-46AF-93F3-95114E2AB05E}"/>
            </c:ext>
          </c:extLst>
        </c:ser>
        <c:dLbls>
          <c:showLegendKey val="0"/>
          <c:showVal val="0"/>
          <c:showCatName val="0"/>
          <c:showSerName val="0"/>
          <c:showPercent val="0"/>
          <c:showBubbleSize val="0"/>
        </c:dLbls>
        <c:gapWidth val="150"/>
        <c:axId val="268400896"/>
        <c:axId val="282017792"/>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AB9-46AF-93F3-95114E2AB05E}"/>
                </c:ext>
              </c:extLst>
            </c:dLbl>
            <c:dLbl>
              <c:idx val="1"/>
              <c:layout>
                <c:manualLayout>
                  <c:x val="-9.0897729163879379E-2"/>
                  <c:y val="3.6835528937815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AB9-46AF-93F3-95114E2AB05E}"/>
                </c:ext>
              </c:extLst>
            </c:dLbl>
            <c:dLbl>
              <c:idx val="2"/>
              <c:layout>
                <c:manualLayout>
                  <c:x val="-7.8425588430124232E-2"/>
                  <c:y val="3.977347393819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AB9-46AF-93F3-95114E2AB05E}"/>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B9-46AF-93F3-95114E2AB05E}"/>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B9-46AF-93F3-95114E2AB05E}"/>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B9-46AF-93F3-95114E2AB05E}"/>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B9-46AF-93F3-95114E2AB05E}"/>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B9-46AF-93F3-95114E2AB05E}"/>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B9-46AF-93F3-95114E2AB05E}"/>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B9-46AF-93F3-95114E2AB05E}"/>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11.099999999999994</c:v>
                </c:pt>
                <c:pt idx="1">
                  <c:v>11.202781730259488</c:v>
                </c:pt>
                <c:pt idx="2">
                  <c:v>12.200000000000003</c:v>
                </c:pt>
              </c:numCache>
            </c:numRef>
          </c:val>
          <c:smooth val="0"/>
          <c:extLst>
            <c:ext xmlns:c16="http://schemas.microsoft.com/office/drawing/2014/chart" uri="{C3380CC4-5D6E-409C-BE32-E72D297353CC}">
              <c16:uniqueId val="{0000000F-6AB9-46AF-93F3-95114E2AB05E}"/>
            </c:ext>
          </c:extLst>
        </c:ser>
        <c:dLbls>
          <c:showLegendKey val="0"/>
          <c:showVal val="0"/>
          <c:showCatName val="0"/>
          <c:showSerName val="0"/>
          <c:showPercent val="0"/>
          <c:showBubbleSize val="0"/>
        </c:dLbls>
        <c:marker val="1"/>
        <c:smooth val="0"/>
        <c:axId val="282020864"/>
        <c:axId val="282019328"/>
      </c:lineChart>
      <c:catAx>
        <c:axId val="268400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2017792"/>
        <c:crosses val="autoZero"/>
        <c:auto val="1"/>
        <c:lblAlgn val="ctr"/>
        <c:lblOffset val="100"/>
        <c:noMultiLvlLbl val="0"/>
      </c:catAx>
      <c:valAx>
        <c:axId val="282017792"/>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8400896"/>
        <c:crosses val="autoZero"/>
        <c:crossBetween val="between"/>
        <c:majorUnit val="5"/>
      </c:valAx>
      <c:valAx>
        <c:axId val="282019328"/>
        <c:scaling>
          <c:orientation val="minMax"/>
          <c:max val="16"/>
          <c:min val="0"/>
        </c:scaling>
        <c:delete val="0"/>
        <c:axPos val="r"/>
        <c:numFmt formatCode="0.0" sourceLinked="1"/>
        <c:majorTickMark val="out"/>
        <c:minorTickMark val="none"/>
        <c:tickLblPos val="nextTo"/>
        <c:crossAx val="282020864"/>
        <c:crosses val="max"/>
        <c:crossBetween val="between"/>
      </c:valAx>
      <c:catAx>
        <c:axId val="282020864"/>
        <c:scaling>
          <c:orientation val="minMax"/>
        </c:scaling>
        <c:delete val="1"/>
        <c:axPos val="b"/>
        <c:numFmt formatCode="General" sourceLinked="1"/>
        <c:majorTickMark val="out"/>
        <c:minorTickMark val="none"/>
        <c:tickLblPos val="nextTo"/>
        <c:crossAx val="28201932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1.4000000000000057</c:v>
                </c:pt>
                <c:pt idx="1">
                  <c:v>0.70000000000000284</c:v>
                </c:pt>
                <c:pt idx="2">
                  <c:v>8.5999999999999943</c:v>
                </c:pt>
              </c:numCache>
            </c:numRef>
          </c:val>
          <c:extLst>
            <c:ext xmlns:c16="http://schemas.microsoft.com/office/drawing/2014/chart" uri="{C3380CC4-5D6E-409C-BE32-E72D297353CC}">
              <c16:uniqueId val="{00000000-DD76-4494-91B1-256B1593C2AC}"/>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12.200000000000003</c:v>
                </c:pt>
                <c:pt idx="1">
                  <c:v>13.900000000000006</c:v>
                </c:pt>
                <c:pt idx="2">
                  <c:v>19</c:v>
                </c:pt>
              </c:numCache>
            </c:numRef>
          </c:val>
          <c:extLst>
            <c:ext xmlns:c16="http://schemas.microsoft.com/office/drawing/2014/chart" uri="{C3380CC4-5D6E-409C-BE32-E72D297353CC}">
              <c16:uniqueId val="{00000001-DD76-4494-91B1-256B1593C2AC}"/>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25.900000000000006</c:v>
                </c:pt>
                <c:pt idx="1">
                  <c:v>21.200000000000003</c:v>
                </c:pt>
                <c:pt idx="2">
                  <c:v>21.900000000000006</c:v>
                </c:pt>
              </c:numCache>
            </c:numRef>
          </c:val>
          <c:extLst>
            <c:ext xmlns:c16="http://schemas.microsoft.com/office/drawing/2014/chart" uri="{C3380CC4-5D6E-409C-BE32-E72D297353CC}">
              <c16:uniqueId val="{00000002-DD76-4494-91B1-256B1593C2AC}"/>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17.700000000000003</c:v>
                </c:pt>
                <c:pt idx="1">
                  <c:v>18.200000000000003</c:v>
                </c:pt>
                <c:pt idx="2">
                  <c:v>26.099999999999994</c:v>
                </c:pt>
              </c:numCache>
            </c:numRef>
          </c:val>
          <c:extLst>
            <c:ext xmlns:c16="http://schemas.microsoft.com/office/drawing/2014/chart" uri="{C3380CC4-5D6E-409C-BE32-E72D297353CC}">
              <c16:uniqueId val="{00000003-DD76-4494-91B1-256B1593C2AC}"/>
            </c:ext>
          </c:extLst>
        </c:ser>
        <c:dLbls>
          <c:showLegendKey val="0"/>
          <c:showVal val="0"/>
          <c:showCatName val="0"/>
          <c:showSerName val="0"/>
          <c:showPercent val="0"/>
          <c:showBubbleSize val="0"/>
        </c:dLbls>
        <c:gapWidth val="219"/>
        <c:overlap val="-27"/>
        <c:axId val="293066240"/>
        <c:axId val="293067776"/>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D76-4494-91B1-256B1593C2AC}"/>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D76-4494-91B1-256B1593C2AC}"/>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D76-4494-91B1-256B1593C2AC}"/>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76-4494-91B1-256B1593C2AC}"/>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DD76-4494-91B1-256B1593C2AC}"/>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76-4494-91B1-256B1593C2AC}"/>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76-4494-91B1-256B1593C2AC}"/>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D76-4494-91B1-256B1593C2AC}"/>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76-4494-91B1-256B1593C2AC}"/>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D76-4494-91B1-256B1593C2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11.099999999999994</c:v>
                </c:pt>
                <c:pt idx="1">
                  <c:v>11.299999999999997</c:v>
                </c:pt>
                <c:pt idx="2">
                  <c:v>14</c:v>
                </c:pt>
              </c:numCache>
            </c:numRef>
          </c:val>
          <c:smooth val="0"/>
          <c:extLst>
            <c:ext xmlns:c16="http://schemas.microsoft.com/office/drawing/2014/chart" uri="{C3380CC4-5D6E-409C-BE32-E72D297353CC}">
              <c16:uniqueId val="{0000000E-DD76-4494-91B1-256B1593C2AC}"/>
            </c:ext>
          </c:extLst>
        </c:ser>
        <c:dLbls>
          <c:showLegendKey val="0"/>
          <c:showVal val="0"/>
          <c:showCatName val="0"/>
          <c:showSerName val="0"/>
          <c:showPercent val="0"/>
          <c:showBubbleSize val="0"/>
        </c:dLbls>
        <c:marker val="1"/>
        <c:smooth val="0"/>
        <c:axId val="293624064"/>
        <c:axId val="293622528"/>
      </c:lineChart>
      <c:catAx>
        <c:axId val="293066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067776"/>
        <c:crosses val="autoZero"/>
        <c:auto val="1"/>
        <c:lblAlgn val="ctr"/>
        <c:lblOffset val="100"/>
        <c:noMultiLvlLbl val="0"/>
      </c:catAx>
      <c:valAx>
        <c:axId val="293067776"/>
        <c:scaling>
          <c:orientation val="minMax"/>
          <c:max val="3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066240"/>
        <c:crosses val="autoZero"/>
        <c:crossBetween val="between"/>
        <c:majorUnit val="8"/>
      </c:valAx>
      <c:valAx>
        <c:axId val="293622528"/>
        <c:scaling>
          <c:orientation val="minMax"/>
          <c:max val="22"/>
        </c:scaling>
        <c:delete val="0"/>
        <c:axPos val="r"/>
        <c:numFmt formatCode="0.0" sourceLinked="1"/>
        <c:majorTickMark val="out"/>
        <c:minorTickMark val="none"/>
        <c:tickLblPos val="nextTo"/>
        <c:crossAx val="293624064"/>
        <c:crosses val="max"/>
        <c:crossBetween val="between"/>
        <c:majorUnit val="4"/>
      </c:valAx>
      <c:catAx>
        <c:axId val="293624064"/>
        <c:scaling>
          <c:orientation val="minMax"/>
        </c:scaling>
        <c:delete val="1"/>
        <c:axPos val="b"/>
        <c:numFmt formatCode="General" sourceLinked="1"/>
        <c:majorTickMark val="out"/>
        <c:minorTickMark val="none"/>
        <c:tickLblPos val="nextTo"/>
        <c:crossAx val="29362252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0.28790067275962</c:v>
                </c:pt>
                <c:pt idx="1">
                  <c:v>0.20564333768544202</c:v>
                </c:pt>
                <c:pt idx="2">
                  <c:v>0.74031601566759009</c:v>
                </c:pt>
              </c:numCache>
            </c:numRef>
          </c:val>
          <c:extLst>
            <c:ext xmlns:c16="http://schemas.microsoft.com/office/drawing/2014/chart" uri="{C3380CC4-5D6E-409C-BE32-E72D297353CC}">
              <c16:uniqueId val="{00000000-5B55-4529-9D26-D4AE4A2FE15A}"/>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0.15910424618186761</c:v>
                </c:pt>
              </c:numCache>
            </c:numRef>
          </c:val>
          <c:extLst>
            <c:ext xmlns:c16="http://schemas.microsoft.com/office/drawing/2014/chart" uri="{C3380CC4-5D6E-409C-BE32-E72D297353CC}">
              <c16:uniqueId val="{00000001-5B55-4529-9D26-D4AE4A2FE15A}"/>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0.91054460584078867</c:v>
                </c:pt>
                <c:pt idx="1">
                  <c:v>0.98517940959823036</c:v>
                </c:pt>
                <c:pt idx="2">
                  <c:v>1.1643029386160897</c:v>
                </c:pt>
              </c:numCache>
            </c:numRef>
          </c:val>
          <c:extLst>
            <c:ext xmlns:c16="http://schemas.microsoft.com/office/drawing/2014/chart" uri="{C3380CC4-5D6E-409C-BE32-E72D297353CC}">
              <c16:uniqueId val="{00000002-5B55-4529-9D26-D4AE4A2FE15A}"/>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7.535193050776761</c:v>
                </c:pt>
                <c:pt idx="1">
                  <c:v>6.8708438169391917</c:v>
                </c:pt>
                <c:pt idx="2">
                  <c:v>6.623700404643774</c:v>
                </c:pt>
              </c:numCache>
            </c:numRef>
          </c:val>
          <c:extLst>
            <c:ext xmlns:c16="http://schemas.microsoft.com/office/drawing/2014/chart" uri="{C3380CC4-5D6E-409C-BE32-E72D297353CC}">
              <c16:uniqueId val="{00000003-5B55-4529-9D26-D4AE4A2FE15A}"/>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2.2945622614140713</c:v>
                </c:pt>
                <c:pt idx="1">
                  <c:v>2.3334531472007503</c:v>
                </c:pt>
                <c:pt idx="2">
                  <c:v>2.7223620050675419</c:v>
                </c:pt>
              </c:numCache>
            </c:numRef>
          </c:val>
          <c:extLst>
            <c:ext xmlns:c16="http://schemas.microsoft.com/office/drawing/2014/chart" uri="{C3380CC4-5D6E-409C-BE32-E72D297353CC}">
              <c16:uniqueId val="{00000004-5B55-4529-9D26-D4AE4A2FE15A}"/>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7.1799409208753939E-2</c:v>
                </c:pt>
                <c:pt idx="1">
                  <c:v>0.8076620188358743</c:v>
                </c:pt>
                <c:pt idx="2">
                  <c:v>0.79021438982314052</c:v>
                </c:pt>
              </c:numCache>
            </c:numRef>
          </c:val>
          <c:extLst>
            <c:ext xmlns:c16="http://schemas.microsoft.com/office/drawing/2014/chart" uri="{C3380CC4-5D6E-409C-BE32-E72D297353CC}">
              <c16:uniqueId val="{00000005-5B55-4529-9D26-D4AE4A2FE15A}"/>
            </c:ext>
          </c:extLst>
        </c:ser>
        <c:dLbls>
          <c:showLegendKey val="0"/>
          <c:showVal val="0"/>
          <c:showCatName val="0"/>
          <c:showSerName val="0"/>
          <c:showPercent val="0"/>
          <c:showBubbleSize val="0"/>
        </c:dLbls>
        <c:gapWidth val="150"/>
        <c:overlap val="100"/>
        <c:axId val="293804288"/>
        <c:axId val="29381427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55-4529-9D26-D4AE4A2FE15A}"/>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B55-4529-9D26-D4AE4A2FE15A}"/>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B55-4529-9D26-D4AE4A2FE15A}"/>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55-4529-9D26-D4AE4A2FE15A}"/>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55-4529-9D26-D4AE4A2FE15A}"/>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55-4529-9D26-D4AE4A2FE15A}"/>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55-4529-9D26-D4AE4A2FE15A}"/>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55-4529-9D26-D4AE4A2FE15A}"/>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55-4529-9D26-D4AE4A2FE15A}"/>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55-4529-9D26-D4AE4A2FE1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11.099999999999994</c:v>
                </c:pt>
                <c:pt idx="1">
                  <c:v>11.202781730259488</c:v>
                </c:pt>
                <c:pt idx="2">
                  <c:v>12.200000000000003</c:v>
                </c:pt>
              </c:numCache>
            </c:numRef>
          </c:val>
          <c:smooth val="0"/>
          <c:extLst>
            <c:ext xmlns:c16="http://schemas.microsoft.com/office/drawing/2014/chart" uri="{C3380CC4-5D6E-409C-BE32-E72D297353CC}">
              <c16:uniqueId val="{00000010-5B55-4529-9D26-D4AE4A2FE15A}"/>
            </c:ext>
          </c:extLst>
        </c:ser>
        <c:dLbls>
          <c:showLegendKey val="0"/>
          <c:showVal val="0"/>
          <c:showCatName val="0"/>
          <c:showSerName val="0"/>
          <c:showPercent val="0"/>
          <c:showBubbleSize val="0"/>
        </c:dLbls>
        <c:marker val="1"/>
        <c:smooth val="0"/>
        <c:axId val="293804288"/>
        <c:axId val="293814272"/>
      </c:lineChart>
      <c:catAx>
        <c:axId val="293804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14272"/>
        <c:crosses val="autoZero"/>
        <c:auto val="1"/>
        <c:lblAlgn val="ctr"/>
        <c:lblOffset val="100"/>
        <c:noMultiLvlLbl val="0"/>
      </c:catAx>
      <c:valAx>
        <c:axId val="293814272"/>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04288"/>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0.28790067275962</c:v>
                </c:pt>
                <c:pt idx="1">
                  <c:v>0.14395033637981</c:v>
                </c:pt>
                <c:pt idx="2">
                  <c:v>1.7685327040948002</c:v>
                </c:pt>
              </c:numCache>
            </c:numRef>
          </c:val>
          <c:extLst>
            <c:ext xmlns:c16="http://schemas.microsoft.com/office/drawing/2014/chart" uri="{C3380CC4-5D6E-409C-BE32-E72D297353CC}">
              <c16:uniqueId val="{00000000-2EB7-4E83-B244-BA81A26AFEB6}"/>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0.91054460584078867</c:v>
                </c:pt>
                <c:pt idx="1">
                  <c:v>1.0374237722284398</c:v>
                </c:pt>
                <c:pt idx="2">
                  <c:v>1.4180612713913918</c:v>
                </c:pt>
              </c:numCache>
            </c:numRef>
          </c:val>
          <c:extLst>
            <c:ext xmlns:c16="http://schemas.microsoft.com/office/drawing/2014/chart" uri="{C3380CC4-5D6E-409C-BE32-E72D297353CC}">
              <c16:uniqueId val="{00000001-2EB7-4E83-B244-BA81A26AFEB6}"/>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12.339787776014804</c:v>
                </c:pt>
                <c:pt idx="1">
                  <c:v>10.100521268398216</c:v>
                </c:pt>
                <c:pt idx="2">
                  <c:v>10.434029046128348</c:v>
                </c:pt>
              </c:numCache>
            </c:numRef>
          </c:val>
          <c:extLst>
            <c:ext xmlns:c16="http://schemas.microsoft.com/office/drawing/2014/chart" uri="{C3380CC4-5D6E-409C-BE32-E72D297353CC}">
              <c16:uniqueId val="{00000002-2EB7-4E83-B244-BA81A26AFEB6}"/>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2.2945622614140713</c:v>
                </c:pt>
                <c:pt idx="1">
                  <c:v>2.35938040439187</c:v>
                </c:pt>
                <c:pt idx="2">
                  <c:v>3.3835070634410869</c:v>
                </c:pt>
              </c:numCache>
            </c:numRef>
          </c:val>
          <c:extLst>
            <c:ext xmlns:c16="http://schemas.microsoft.com/office/drawing/2014/chart" uri="{C3380CC4-5D6E-409C-BE32-E72D297353CC}">
              <c16:uniqueId val="{00000003-2EB7-4E83-B244-BA81A26AFEB6}"/>
            </c:ext>
          </c:extLst>
        </c:ser>
        <c:dLbls>
          <c:showLegendKey val="0"/>
          <c:showVal val="0"/>
          <c:showCatName val="0"/>
          <c:showSerName val="0"/>
          <c:showPercent val="0"/>
          <c:showBubbleSize val="0"/>
        </c:dLbls>
        <c:gapWidth val="219"/>
        <c:overlap val="100"/>
        <c:axId val="293840768"/>
        <c:axId val="293842304"/>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Sheet1!$B$1:$D$1</c15:sqref>
                        </c15:formulaRef>
                      </c:ext>
                    </c:extLst>
                    <c:strCache>
                      <c:ptCount val="3"/>
                      <c:pt idx="0">
                        <c:v>I</c:v>
                      </c:pt>
                      <c:pt idx="1">
                        <c:v>II</c:v>
                      </c:pt>
                      <c:pt idx="2">
                        <c:v>III</c:v>
                      </c:pt>
                    </c:strCache>
                  </c:strRef>
                </c:cat>
                <c:val>
                  <c:numRef>
                    <c:extLst>
                      <c:ext uri="{02D57815-91ED-43cb-92C2-25804820EDAC}">
                        <c15:formulaRef>
                          <c15:sqref>Sheet1!$B$7:$D$7</c15:sqref>
                        </c15:formulaRef>
                      </c:ext>
                    </c:extLst>
                    <c:numCache>
                      <c:formatCode>0.0</c:formatCode>
                      <c:ptCount val="3"/>
                      <c:pt idx="0">
                        <c:v>-4.7327953160292893</c:v>
                      </c:pt>
                      <c:pt idx="1">
                        <c:v>-2.3412757813983376</c:v>
                      </c:pt>
                      <c:pt idx="2">
                        <c:v>-3.0041300850556283</c:v>
                      </c:pt>
                    </c:numCache>
                  </c:numRef>
                </c:val>
                <c:extLst>
                  <c:ext xmlns:c16="http://schemas.microsoft.com/office/drawing/2014/chart" uri="{C3380CC4-5D6E-409C-BE32-E72D297353CC}">
                    <c16:uniqueId val="{00000004-2EB7-4E83-B244-BA81A26AFEB6}"/>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EB7-4E83-B244-BA81A26AFEB6}"/>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EB7-4E83-B244-BA81A26AFEB6}"/>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EB7-4E83-B244-BA81A26AFEB6}"/>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B7-4E83-B244-BA81A26AFEB6}"/>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B7-4E83-B244-BA81A26AFEB6}"/>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B7-4E83-B244-BA81A26AFEB6}"/>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B7-4E83-B244-BA81A26AFEB6}"/>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B7-4E83-B244-BA81A26AFEB6}"/>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B7-4E83-B244-BA81A26AFEB6}"/>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B7-4E83-B244-BA81A26AFEB6}"/>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11.099999999999994</c:v>
                </c:pt>
                <c:pt idx="1">
                  <c:v>11.299999999999997</c:v>
                </c:pt>
                <c:pt idx="2">
                  <c:v>14</c:v>
                </c:pt>
              </c:numCache>
            </c:numRef>
          </c:val>
          <c:smooth val="0"/>
          <c:extLst>
            <c:ext xmlns:c16="http://schemas.microsoft.com/office/drawing/2014/chart" uri="{C3380CC4-5D6E-409C-BE32-E72D297353CC}">
              <c16:uniqueId val="{0000000F-2EB7-4E83-B244-BA81A26AFEB6}"/>
            </c:ext>
          </c:extLst>
        </c:ser>
        <c:dLbls>
          <c:showLegendKey val="0"/>
          <c:showVal val="0"/>
          <c:showCatName val="0"/>
          <c:showSerName val="0"/>
          <c:showPercent val="0"/>
          <c:showBubbleSize val="0"/>
        </c:dLbls>
        <c:marker val="1"/>
        <c:smooth val="0"/>
        <c:axId val="293840768"/>
        <c:axId val="293842304"/>
      </c:lineChart>
      <c:catAx>
        <c:axId val="2938407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42304"/>
        <c:crosses val="autoZero"/>
        <c:auto val="1"/>
        <c:lblAlgn val="ctr"/>
        <c:lblOffset val="100"/>
        <c:noMultiLvlLbl val="0"/>
      </c:catAx>
      <c:valAx>
        <c:axId val="293842304"/>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3840768"/>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D18DF-7443-482B-B276-F33CFD52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33</Pages>
  <Words>5663</Words>
  <Characters>40429</Characters>
  <Application>Microsoft Office Word</Application>
  <DocSecurity>0</DocSecurity>
  <Lines>336</Lines>
  <Paragraphs>91</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46001</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Greta Adamyan</cp:lastModifiedBy>
  <cp:revision>4</cp:revision>
  <cp:lastPrinted>2023-05-05T15:12:00Z</cp:lastPrinted>
  <dcterms:created xsi:type="dcterms:W3CDTF">2024-04-29T08:46:00Z</dcterms:created>
  <dcterms:modified xsi:type="dcterms:W3CDTF">2024-04-29T10:24:00Z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